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47F4" w14:textId="77777777" w:rsidR="00365D38" w:rsidRPr="00E569D3" w:rsidRDefault="00365D38" w:rsidP="00365D3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569D3">
        <w:rPr>
          <w:rFonts w:ascii="Times New Roman" w:hAnsi="Times New Roman"/>
          <w:b/>
          <w:sz w:val="28"/>
          <w:szCs w:val="28"/>
        </w:rPr>
        <w:t>УТВЕРЖДЕНО</w:t>
      </w:r>
    </w:p>
    <w:p w14:paraId="3751249F" w14:textId="77777777" w:rsidR="00365D38" w:rsidRPr="00E569D3" w:rsidRDefault="00365D38" w:rsidP="00365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69D3">
        <w:rPr>
          <w:rFonts w:ascii="Times New Roman" w:hAnsi="Times New Roman"/>
          <w:sz w:val="28"/>
          <w:szCs w:val="28"/>
        </w:rPr>
        <w:t>решением Правления</w:t>
      </w:r>
    </w:p>
    <w:p w14:paraId="3EF6BE74" w14:textId="77777777" w:rsidR="00365D38" w:rsidRPr="00E569D3" w:rsidRDefault="00365D38" w:rsidP="00365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69D3">
        <w:rPr>
          <w:rFonts w:ascii="Times New Roman" w:hAnsi="Times New Roman"/>
          <w:sz w:val="28"/>
          <w:szCs w:val="28"/>
        </w:rPr>
        <w:t>Ассоциации СРО «Центризыскания»</w:t>
      </w:r>
    </w:p>
    <w:p w14:paraId="1AF5480D" w14:textId="2480167F" w:rsidR="00365D38" w:rsidRPr="00E569D3" w:rsidRDefault="00365D38" w:rsidP="00365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69D3">
        <w:rPr>
          <w:rFonts w:ascii="Times New Roman" w:hAnsi="Times New Roman"/>
          <w:sz w:val="28"/>
          <w:szCs w:val="28"/>
        </w:rPr>
        <w:t>от «</w:t>
      </w:r>
      <w:r w:rsidR="001C4431">
        <w:rPr>
          <w:rFonts w:ascii="Times New Roman" w:hAnsi="Times New Roman"/>
          <w:sz w:val="28"/>
          <w:szCs w:val="28"/>
        </w:rPr>
        <w:t>30</w:t>
      </w:r>
      <w:r w:rsidRPr="00E569D3">
        <w:rPr>
          <w:rFonts w:ascii="Times New Roman" w:hAnsi="Times New Roman"/>
          <w:sz w:val="28"/>
          <w:szCs w:val="28"/>
        </w:rPr>
        <w:t xml:space="preserve">» </w:t>
      </w:r>
      <w:r w:rsidR="001C4431">
        <w:rPr>
          <w:rFonts w:ascii="Times New Roman" w:hAnsi="Times New Roman"/>
          <w:sz w:val="28"/>
          <w:szCs w:val="28"/>
        </w:rPr>
        <w:t xml:space="preserve">июня </w:t>
      </w:r>
      <w:r>
        <w:rPr>
          <w:rFonts w:ascii="Times New Roman" w:hAnsi="Times New Roman"/>
          <w:sz w:val="28"/>
          <w:szCs w:val="28"/>
        </w:rPr>
        <w:t>2023</w:t>
      </w:r>
      <w:r w:rsidRPr="00E569D3">
        <w:rPr>
          <w:rFonts w:ascii="Times New Roman" w:hAnsi="Times New Roman"/>
          <w:sz w:val="28"/>
          <w:szCs w:val="28"/>
        </w:rPr>
        <w:t xml:space="preserve"> г. </w:t>
      </w:r>
    </w:p>
    <w:p w14:paraId="4ED9E161" w14:textId="77777777" w:rsidR="00365D38" w:rsidRDefault="001C4431" w:rsidP="00365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515</w:t>
      </w:r>
    </w:p>
    <w:p w14:paraId="65891384" w14:textId="77777777" w:rsidR="006C4848" w:rsidRDefault="006C4848" w:rsidP="00365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2A21A1" w14:textId="77777777" w:rsidR="006C4848" w:rsidRPr="00E569D3" w:rsidRDefault="006C4848" w:rsidP="006C48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69D3">
        <w:rPr>
          <w:rFonts w:ascii="Times New Roman" w:hAnsi="Times New Roman"/>
          <w:sz w:val="28"/>
          <w:szCs w:val="28"/>
        </w:rPr>
        <w:t>решением Правления</w:t>
      </w:r>
    </w:p>
    <w:p w14:paraId="7B58FF6B" w14:textId="77777777" w:rsidR="006C4848" w:rsidRPr="00E569D3" w:rsidRDefault="006C4848" w:rsidP="006C48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69D3">
        <w:rPr>
          <w:rFonts w:ascii="Times New Roman" w:hAnsi="Times New Roman"/>
          <w:sz w:val="28"/>
          <w:szCs w:val="28"/>
        </w:rPr>
        <w:t>Ассоциации СРО «Центризыскания»</w:t>
      </w:r>
    </w:p>
    <w:p w14:paraId="204BA0B0" w14:textId="4EAB80FC" w:rsidR="006C4848" w:rsidRDefault="006C4848" w:rsidP="006C48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69D3">
        <w:rPr>
          <w:rFonts w:ascii="Times New Roman" w:hAnsi="Times New Roman"/>
          <w:sz w:val="28"/>
          <w:szCs w:val="28"/>
        </w:rPr>
        <w:t>от «</w:t>
      </w:r>
      <w:r w:rsidR="00B94A83">
        <w:rPr>
          <w:rFonts w:ascii="Times New Roman" w:hAnsi="Times New Roman"/>
          <w:sz w:val="28"/>
          <w:szCs w:val="28"/>
        </w:rPr>
        <w:t>18</w:t>
      </w:r>
      <w:r w:rsidRPr="00E569D3">
        <w:rPr>
          <w:rFonts w:ascii="Times New Roman" w:hAnsi="Times New Roman"/>
          <w:sz w:val="28"/>
          <w:szCs w:val="28"/>
        </w:rPr>
        <w:t xml:space="preserve">» </w:t>
      </w:r>
      <w:r w:rsidR="00B94A83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E569D3">
        <w:rPr>
          <w:rFonts w:ascii="Times New Roman" w:hAnsi="Times New Roman"/>
          <w:sz w:val="28"/>
          <w:szCs w:val="28"/>
        </w:rPr>
        <w:t xml:space="preserve"> г. </w:t>
      </w:r>
    </w:p>
    <w:p w14:paraId="1A866C86" w14:textId="6E7BA88D" w:rsidR="006C4848" w:rsidRPr="00E569D3" w:rsidRDefault="006C4848" w:rsidP="006C48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внесены изменения</w:t>
      </w:r>
    </w:p>
    <w:p w14:paraId="68758FB0" w14:textId="659D5214" w:rsidR="006C4848" w:rsidRDefault="00B94A83" w:rsidP="006C48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528</w:t>
      </w:r>
    </w:p>
    <w:p w14:paraId="4EACA8AA" w14:textId="77777777" w:rsidR="00A45618" w:rsidRDefault="00A45618" w:rsidP="002924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4EEC7DB" w14:textId="60EBBC88" w:rsidR="00292401" w:rsidRPr="00E569D3" w:rsidRDefault="00292401" w:rsidP="002924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69D3">
        <w:rPr>
          <w:rFonts w:ascii="Times New Roman" w:hAnsi="Times New Roman"/>
          <w:sz w:val="28"/>
          <w:szCs w:val="28"/>
        </w:rPr>
        <w:t>решением Правления</w:t>
      </w:r>
    </w:p>
    <w:p w14:paraId="3776083B" w14:textId="77777777" w:rsidR="00292401" w:rsidRPr="00E569D3" w:rsidRDefault="00292401" w:rsidP="002924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69D3">
        <w:rPr>
          <w:rFonts w:ascii="Times New Roman" w:hAnsi="Times New Roman"/>
          <w:sz w:val="28"/>
          <w:szCs w:val="28"/>
        </w:rPr>
        <w:t>Ассоциации СРО «Центризыскания»</w:t>
      </w:r>
    </w:p>
    <w:p w14:paraId="462699F2" w14:textId="7644F658" w:rsidR="00292401" w:rsidRDefault="00292401" w:rsidP="002924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69D3">
        <w:rPr>
          <w:rFonts w:ascii="Times New Roman" w:hAnsi="Times New Roman"/>
          <w:sz w:val="28"/>
          <w:szCs w:val="28"/>
        </w:rPr>
        <w:t>от «</w:t>
      </w:r>
      <w:r w:rsidR="00A45618">
        <w:rPr>
          <w:rFonts w:ascii="Times New Roman" w:hAnsi="Times New Roman"/>
          <w:sz w:val="28"/>
          <w:szCs w:val="28"/>
        </w:rPr>
        <w:t>29</w:t>
      </w:r>
      <w:r w:rsidRPr="00E569D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 2024</w:t>
      </w:r>
      <w:r w:rsidRPr="00E569D3">
        <w:rPr>
          <w:rFonts w:ascii="Times New Roman" w:hAnsi="Times New Roman"/>
          <w:sz w:val="28"/>
          <w:szCs w:val="28"/>
        </w:rPr>
        <w:t xml:space="preserve"> г. </w:t>
      </w:r>
    </w:p>
    <w:p w14:paraId="51ECC2F0" w14:textId="77777777" w:rsidR="00292401" w:rsidRPr="00E569D3" w:rsidRDefault="00292401" w:rsidP="002924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внесены изменения</w:t>
      </w:r>
    </w:p>
    <w:p w14:paraId="02FF4BDB" w14:textId="3D9773DF" w:rsidR="00292401" w:rsidRPr="00E569D3" w:rsidRDefault="00292401" w:rsidP="002924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A45618">
        <w:rPr>
          <w:rFonts w:ascii="Times New Roman" w:hAnsi="Times New Roman"/>
          <w:sz w:val="28"/>
          <w:szCs w:val="28"/>
        </w:rPr>
        <w:t>531</w:t>
      </w:r>
    </w:p>
    <w:p w14:paraId="670FD1C1" w14:textId="77777777" w:rsidR="00292401" w:rsidRPr="00E569D3" w:rsidRDefault="00292401" w:rsidP="006C48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7A82B18" w14:textId="77777777" w:rsidR="00365D38" w:rsidRPr="00E36924" w:rsidRDefault="00365D38" w:rsidP="00365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89FDEE" w14:textId="77777777" w:rsidR="00365D38" w:rsidRPr="00E36924" w:rsidRDefault="00365D38" w:rsidP="00365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DF4E82" w14:textId="77777777" w:rsidR="00365D38" w:rsidRPr="00E36924" w:rsidRDefault="00365D38" w:rsidP="00365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D389CC" w14:textId="77777777" w:rsidR="00365D38" w:rsidRPr="00E36924" w:rsidRDefault="00365D38" w:rsidP="00365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5A3645" w14:textId="77777777" w:rsidR="00365D38" w:rsidRDefault="00365D38" w:rsidP="00365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E0C2EB" w14:textId="77777777" w:rsidR="00365D38" w:rsidRDefault="00365D38" w:rsidP="00365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A1C3D4" wp14:editId="26154640">
            <wp:extent cx="3029585" cy="2429510"/>
            <wp:effectExtent l="0" t="0" r="0" b="8890"/>
            <wp:docPr id="2" name="Рисунок 2" descr="WhatsApp Image 2022-03-16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atsApp Image 2022-03-16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280A5" w14:textId="77777777" w:rsidR="00F922CD" w:rsidRDefault="00F922CD" w:rsidP="00365D38">
      <w:pPr>
        <w:rPr>
          <w:rFonts w:ascii="Times New Roman" w:hAnsi="Times New Roman" w:cs="Times New Roman"/>
          <w:sz w:val="24"/>
          <w:szCs w:val="24"/>
        </w:rPr>
      </w:pPr>
    </w:p>
    <w:p w14:paraId="20E5CD09" w14:textId="77777777" w:rsidR="00A45618" w:rsidRPr="00D408C1" w:rsidRDefault="00A45618" w:rsidP="00365D38">
      <w:pPr>
        <w:rPr>
          <w:rFonts w:ascii="Times New Roman" w:hAnsi="Times New Roman" w:cs="Times New Roman"/>
          <w:sz w:val="24"/>
          <w:szCs w:val="24"/>
        </w:rPr>
      </w:pPr>
    </w:p>
    <w:p w14:paraId="059904AF" w14:textId="5DB01224" w:rsidR="00620D1B" w:rsidRPr="00292401" w:rsidRDefault="00F922CD" w:rsidP="00292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D38">
        <w:rPr>
          <w:rFonts w:ascii="Times New Roman" w:hAnsi="Times New Roman" w:cs="Times New Roman"/>
          <w:b/>
          <w:sz w:val="24"/>
          <w:szCs w:val="24"/>
        </w:rPr>
        <w:t xml:space="preserve">Положение о страховании членами Ассоциации </w:t>
      </w:r>
      <w:r w:rsidR="00D408C1" w:rsidRPr="00365D38">
        <w:rPr>
          <w:rFonts w:ascii="Times New Roman" w:hAnsi="Times New Roman" w:cs="Times New Roman"/>
          <w:b/>
          <w:sz w:val="24"/>
          <w:szCs w:val="24"/>
        </w:rPr>
        <w:t>СРО «Центризыскания»</w:t>
      </w:r>
      <w:r w:rsidRPr="00365D38">
        <w:rPr>
          <w:rFonts w:ascii="Times New Roman" w:hAnsi="Times New Roman" w:cs="Times New Roman"/>
          <w:b/>
          <w:sz w:val="24"/>
          <w:szCs w:val="24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</w:t>
      </w:r>
    </w:p>
    <w:p w14:paraId="5A554FE4" w14:textId="77777777" w:rsidR="00620D1B" w:rsidRDefault="00620D1B" w:rsidP="00D408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E6BF03" w14:textId="57F4E028" w:rsidR="00620D1B" w:rsidRDefault="00F922CD" w:rsidP="00620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7E">
        <w:rPr>
          <w:rFonts w:ascii="Times New Roman" w:hAnsi="Times New Roman" w:cs="Times New Roman"/>
          <w:b/>
          <w:sz w:val="24"/>
          <w:szCs w:val="24"/>
        </w:rPr>
        <w:t xml:space="preserve">г. Москва, </w:t>
      </w:r>
      <w:r w:rsidR="00C922DB">
        <w:rPr>
          <w:rFonts w:ascii="Times New Roman" w:hAnsi="Times New Roman" w:cs="Times New Roman"/>
          <w:b/>
          <w:sz w:val="24"/>
          <w:szCs w:val="24"/>
        </w:rPr>
        <w:t>2024</w:t>
      </w:r>
      <w:r w:rsidR="00365D38" w:rsidRPr="0031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D1B">
        <w:rPr>
          <w:rFonts w:ascii="Times New Roman" w:hAnsi="Times New Roman" w:cs="Times New Roman"/>
          <w:b/>
          <w:sz w:val="24"/>
          <w:szCs w:val="24"/>
        </w:rPr>
        <w:t>г.</w:t>
      </w:r>
    </w:p>
    <w:p w14:paraId="503AA01E" w14:textId="77777777" w:rsidR="00F922CD" w:rsidRPr="00D408C1" w:rsidRDefault="00365D38" w:rsidP="00365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741D8A6B" w14:textId="77777777" w:rsidR="00F922CD" w:rsidRPr="00D408C1" w:rsidRDefault="00530E4E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 Положение разработано в соответствии с Гражданским Кодексом РФ, Градостроительным кодексом РФ, Федеральным законом № 315-ФЗ от 01.12.2007 г. «О саморегулируемых организациях», Законом РФ от 27.11.1992 № 4015-1 «Об организации страхового дела в Российской Федерации». </w:t>
      </w:r>
    </w:p>
    <w:p w14:paraId="2C541DD0" w14:textId="77777777" w:rsidR="00F922CD" w:rsidRPr="00D408C1" w:rsidRDefault="00530E4E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е Положение устанавливает общий порядок и условия заключения членами Ассоциации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 договоров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(далее по тексту – «Страхование гражданской ответственности»).</w:t>
      </w:r>
    </w:p>
    <w:p w14:paraId="3208809E" w14:textId="77777777" w:rsidR="00F922CD" w:rsidRPr="00D408C1" w:rsidRDefault="00530E4E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Настояще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е Положение обязательно для исполнения всеми членами Ассоциации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3AEEE4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1.4. Ассоциация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Pr="00D408C1">
        <w:rPr>
          <w:rFonts w:ascii="Times New Roman" w:hAnsi="Times New Roman" w:cs="Times New Roman"/>
          <w:sz w:val="24"/>
          <w:szCs w:val="24"/>
        </w:rPr>
        <w:t xml:space="preserve"> вправе не принимать от своих членов договоры страхования, заключенные с нарушением настоящего Положения. </w:t>
      </w:r>
    </w:p>
    <w:p w14:paraId="6EEB4ADC" w14:textId="77777777" w:rsidR="00F922CD" w:rsidRPr="00D408C1" w:rsidRDefault="00F922CD" w:rsidP="00365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C1">
        <w:rPr>
          <w:rFonts w:ascii="Times New Roman" w:hAnsi="Times New Roman" w:cs="Times New Roman"/>
          <w:b/>
          <w:sz w:val="24"/>
          <w:szCs w:val="24"/>
        </w:rPr>
        <w:t xml:space="preserve">2. ОБЯЗАННОСТЬ ЧЛЕНОВ АССОЦИАЦИИ </w:t>
      </w:r>
      <w:r w:rsidR="00D408C1" w:rsidRPr="00D408C1">
        <w:rPr>
          <w:rFonts w:ascii="Times New Roman" w:hAnsi="Times New Roman" w:cs="Times New Roman"/>
          <w:b/>
          <w:sz w:val="24"/>
          <w:szCs w:val="24"/>
        </w:rPr>
        <w:t>СРО «</w:t>
      </w:r>
      <w:r w:rsidR="00530E4E">
        <w:rPr>
          <w:rFonts w:ascii="Times New Roman" w:hAnsi="Times New Roman" w:cs="Times New Roman"/>
          <w:b/>
          <w:sz w:val="24"/>
          <w:szCs w:val="24"/>
        </w:rPr>
        <w:t>ЦЕНТРИЗЫСКАНИЯ</w:t>
      </w:r>
      <w:r w:rsidR="00D408C1" w:rsidRPr="00D408C1">
        <w:rPr>
          <w:rFonts w:ascii="Times New Roman" w:hAnsi="Times New Roman" w:cs="Times New Roman"/>
          <w:b/>
          <w:sz w:val="24"/>
          <w:szCs w:val="24"/>
        </w:rPr>
        <w:t>»</w:t>
      </w:r>
      <w:r w:rsidRPr="00D408C1">
        <w:rPr>
          <w:rFonts w:ascii="Times New Roman" w:hAnsi="Times New Roman" w:cs="Times New Roman"/>
          <w:b/>
          <w:sz w:val="24"/>
          <w:szCs w:val="24"/>
        </w:rPr>
        <w:t xml:space="preserve"> ПО ЗАКЛЮЧЕНИЮ ДОГОВОРОВ СТРАХОВАНИЯ ГРАЖДАНСКОЙ ОТВЕТСТВЕННОСТИ ЗА ПРИЧИНЕНИЕ ВРЕДА</w:t>
      </w:r>
    </w:p>
    <w:p w14:paraId="53A3D64D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2.1. В целях повышения размера обеспечения имущественной ответственности членов саморегулируемой организации в качестве обязательного требования устанавливается требование 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 </w:t>
      </w:r>
    </w:p>
    <w:p w14:paraId="4F6135E4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2.2. Индивидуальные предприниматели или юридические лица, являющиеся членами Ассоциации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Pr="00D408C1">
        <w:rPr>
          <w:rFonts w:ascii="Times New Roman" w:hAnsi="Times New Roman" w:cs="Times New Roman"/>
          <w:sz w:val="24"/>
          <w:szCs w:val="24"/>
        </w:rPr>
        <w:t xml:space="preserve"> обязаны застраховать свою гражданскую ответственность за причинение вреда в порядке и на условиях, установленных настоящим Положением. </w:t>
      </w:r>
    </w:p>
    <w:p w14:paraId="5F5D5793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>2.3. Страхование гражданской ответственности, предусмотренное настоящими Положением, может осуществляться:</w:t>
      </w:r>
    </w:p>
    <w:p w14:paraId="1AF583E3" w14:textId="77777777" w:rsidR="00F922CD" w:rsidRPr="00D408C1" w:rsidRDefault="00D22294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2.3.1. На основании индивидуальных договоров страхования, </w:t>
      </w:r>
    </w:p>
    <w:p w14:paraId="57D15B01" w14:textId="77777777" w:rsidR="00F922CD" w:rsidRPr="00D408C1" w:rsidRDefault="00D22294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2.3.1.1. заключенных на «годовой» базе </w:t>
      </w:r>
    </w:p>
    <w:p w14:paraId="159D1067" w14:textId="77777777" w:rsidR="00F922CD" w:rsidRPr="00D408C1" w:rsidRDefault="00D22294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2.3.1.2. заключенных на «объектной» базе </w:t>
      </w:r>
    </w:p>
    <w:p w14:paraId="458B0D7E" w14:textId="77777777" w:rsidR="00F922CD" w:rsidRPr="00D408C1" w:rsidRDefault="00D22294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2CD" w:rsidRPr="00D408C1">
        <w:rPr>
          <w:rFonts w:ascii="Times New Roman" w:hAnsi="Times New Roman" w:cs="Times New Roman"/>
          <w:sz w:val="24"/>
          <w:szCs w:val="24"/>
        </w:rPr>
        <w:t>2.3.2. На основании коллективного договора страхования, заключенного на «годовой базе».</w:t>
      </w:r>
    </w:p>
    <w:p w14:paraId="02917EF5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>2.4. Выбор формы заключения договора страхования гражданской ответ</w:t>
      </w:r>
      <w:r w:rsidR="0031257E">
        <w:rPr>
          <w:rFonts w:ascii="Times New Roman" w:hAnsi="Times New Roman" w:cs="Times New Roman"/>
          <w:sz w:val="24"/>
          <w:szCs w:val="24"/>
        </w:rPr>
        <w:t xml:space="preserve">ственности, указанные в пунктах </w:t>
      </w:r>
      <w:r w:rsidRPr="00D408C1">
        <w:rPr>
          <w:rFonts w:ascii="Times New Roman" w:hAnsi="Times New Roman" w:cs="Times New Roman"/>
          <w:sz w:val="24"/>
          <w:szCs w:val="24"/>
        </w:rPr>
        <w:t xml:space="preserve">2.3.1 и 2.3.2, определяет </w:t>
      </w:r>
      <w:r w:rsidR="0031257E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Pr="00D408C1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Pr="00D408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C02ADD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lastRenderedPageBreak/>
        <w:t xml:space="preserve">2.5. Член Ассоциации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Pr="00D408C1">
        <w:rPr>
          <w:rFonts w:ascii="Times New Roman" w:hAnsi="Times New Roman" w:cs="Times New Roman"/>
          <w:sz w:val="24"/>
          <w:szCs w:val="24"/>
        </w:rPr>
        <w:t xml:space="preserve"> или лицо, претендующее на прием в члены Ассоциации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Pr="00D408C1">
        <w:rPr>
          <w:rFonts w:ascii="Times New Roman" w:hAnsi="Times New Roman" w:cs="Times New Roman"/>
          <w:sz w:val="24"/>
          <w:szCs w:val="24"/>
        </w:rPr>
        <w:t xml:space="preserve">, в случае заключения им индивидуального договора страхования обязан: </w:t>
      </w:r>
    </w:p>
    <w:p w14:paraId="41391A0F" w14:textId="77777777" w:rsidR="00F922CD" w:rsidRPr="00D408C1" w:rsidRDefault="0031257E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2.5.1. Обеспечивать непрерывное страхование своей гражданской ответственности в течение всего периода своего членства в Ассоциации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. Не позднее, чем за 2 (два месяца) до окончания срока действия договора страхования член Ассоциации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, обязан заключить договор страхования на новый срок, определив момент начала его действия с момента окончания срока действия предыдущего договора страхования. </w:t>
      </w:r>
    </w:p>
    <w:p w14:paraId="46A97DA7" w14:textId="77777777" w:rsidR="00F922CD" w:rsidRPr="00D408C1" w:rsidRDefault="0031257E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2.5.2. Проект Договора страхования на новый срок в обязательном порядке подлежит предварительному согласованию на соответствие требованиям, настоящего Положения с Ассоциацией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463F17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 </w:t>
      </w:r>
      <w:r w:rsidR="0031257E">
        <w:rPr>
          <w:rFonts w:ascii="Times New Roman" w:hAnsi="Times New Roman" w:cs="Times New Roman"/>
          <w:sz w:val="24"/>
          <w:szCs w:val="24"/>
        </w:rPr>
        <w:t xml:space="preserve"> </w:t>
      </w:r>
      <w:r w:rsidRPr="00D408C1">
        <w:rPr>
          <w:rFonts w:ascii="Times New Roman" w:hAnsi="Times New Roman" w:cs="Times New Roman"/>
          <w:sz w:val="24"/>
          <w:szCs w:val="24"/>
        </w:rPr>
        <w:t xml:space="preserve">2.5.3. Незамедлительно уведомлять Ассоциацию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Pr="00D408C1">
        <w:rPr>
          <w:rFonts w:ascii="Times New Roman" w:hAnsi="Times New Roman" w:cs="Times New Roman"/>
          <w:sz w:val="24"/>
          <w:szCs w:val="24"/>
        </w:rPr>
        <w:t xml:space="preserve"> о заключении, продлении, внесении изменений и расторжении договора страхования гражданской ответственности. К уведомлению о заключении, продлении договора страхования необходимо прилагать копию документа, подтверждающего уплату страховой премии (страхового взноса). К уведомлению о расторжении договора страхования или о внесении изменений в действующий договор страхования необходимо приложить копии документов, подтверждающих внесение изменений и уплату дополнительной страховой премии (при необходимости). </w:t>
      </w:r>
    </w:p>
    <w:p w14:paraId="74EF43DF" w14:textId="77777777" w:rsidR="00530E4E" w:rsidRDefault="0031257E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2.5.4. В случае прекращения действия договора страхования в связи с ликвидацией Страховщика, в связи с отзывом у Страховщика Лицензии на осуществление страховой деятельности в порядке и по основаниям, предусмотренным действующим законодательством Российской Федерации, член Ассоциации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 обязан в срок, не превышающий 30 (тридцать) рабочих дней с даты наступления указанных выше обстоятельств, заключить договор страхования с другим Страховщиком, соответствующим требованиям настоящего Положения и предоставить оригинал или заверенную копию такого договора страхования в Ассоциацию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="00530E4E">
        <w:rPr>
          <w:rFonts w:ascii="Times New Roman" w:hAnsi="Times New Roman" w:cs="Times New Roman"/>
          <w:sz w:val="24"/>
          <w:szCs w:val="24"/>
        </w:rPr>
        <w:t>.</w:t>
      </w:r>
    </w:p>
    <w:p w14:paraId="1A0BBF38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2.6. В случае невыполнения обязанностей, указанных в п. 2.5. настоящего Положения, в отношении члена Ассоциации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Pr="00D408C1">
        <w:rPr>
          <w:rFonts w:ascii="Times New Roman" w:hAnsi="Times New Roman" w:cs="Times New Roman"/>
          <w:sz w:val="24"/>
          <w:szCs w:val="24"/>
        </w:rPr>
        <w:t xml:space="preserve"> применяются меры дисциплинарного воздействия, вплоть до исключения из членов Ассоциации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Pr="00D408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B38EE6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2.7. Договоры страхования на «объектной базе» применяются при заключении: </w:t>
      </w:r>
    </w:p>
    <w:p w14:paraId="367DF94D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- договоров подряда на выполнение инженерных изысканий по четвертому уровню ответственности; </w:t>
      </w:r>
    </w:p>
    <w:p w14:paraId="19D1E075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- договоров подряда в отношении особо опасных, технически сложных и уникальных объектов капитального строительства, а также объектах использования атомной энергии. </w:t>
      </w:r>
    </w:p>
    <w:p w14:paraId="239CA80C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Договор страхования на «объектной базе» заключается независимо от наличия индивидуального и/или коллективного договора страхования. Заключение договоров </w:t>
      </w:r>
      <w:r w:rsidRPr="00D408C1">
        <w:rPr>
          <w:rFonts w:ascii="Times New Roman" w:hAnsi="Times New Roman" w:cs="Times New Roman"/>
          <w:sz w:val="24"/>
          <w:szCs w:val="24"/>
        </w:rPr>
        <w:lastRenderedPageBreak/>
        <w:t xml:space="preserve">страхования «на объектной базе» должно осуществляться до начала выполнения работ по договорам подряда на выполнение инженерных изысканий. </w:t>
      </w:r>
    </w:p>
    <w:p w14:paraId="4BE78909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2.8. Ассоциация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Pr="00D408C1">
        <w:rPr>
          <w:rFonts w:ascii="Times New Roman" w:hAnsi="Times New Roman" w:cs="Times New Roman"/>
          <w:sz w:val="24"/>
          <w:szCs w:val="24"/>
        </w:rPr>
        <w:t xml:space="preserve"> имеет право заключить коллективный договор страхования гражданской ответственности своих членов, вне зависимости от наличия у них индивидуального договора страхования. При этом порядок и условия заключения коллективного договора страхования гражданской ответственности определяет </w:t>
      </w:r>
      <w:r w:rsidR="00B13C15">
        <w:rPr>
          <w:rFonts w:ascii="Times New Roman" w:hAnsi="Times New Roman" w:cs="Times New Roman"/>
          <w:sz w:val="24"/>
          <w:szCs w:val="24"/>
        </w:rPr>
        <w:t>Правление</w:t>
      </w:r>
      <w:r w:rsidRPr="00D408C1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Pr="00D408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80EC59" w14:textId="77777777" w:rsidR="00F922CD" w:rsidRPr="00D408C1" w:rsidRDefault="00620293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22CD" w:rsidRPr="00D408C1">
        <w:rPr>
          <w:rFonts w:ascii="Times New Roman" w:hAnsi="Times New Roman" w:cs="Times New Roman"/>
          <w:sz w:val="24"/>
          <w:szCs w:val="24"/>
        </w:rPr>
        <w:t>2.8.1. Коллективный договор страхования гражданской ответственности заключается</w:t>
      </w:r>
      <w:r w:rsidR="00B13C15">
        <w:rPr>
          <w:rFonts w:ascii="Times New Roman" w:hAnsi="Times New Roman" w:cs="Times New Roman"/>
          <w:sz w:val="24"/>
          <w:szCs w:val="24"/>
        </w:rPr>
        <w:t xml:space="preserve"> между Страховщиком и Ассоциацией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 на основании представленного списка членов с указанием ИНН, юридического адреса, страховой суммы (лимита ответственности), а также срока действия страхового покрытия по каждому члену. </w:t>
      </w:r>
    </w:p>
    <w:p w14:paraId="48F7D026" w14:textId="77777777" w:rsidR="00F922CD" w:rsidRPr="00D408C1" w:rsidRDefault="00620293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2.8.2. Включение в коллективный договор страхования новых членов Ассоциации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 осуществляется путем заключения дополнительного соглашения со сроком действия до окончания коллективного договора страхования, что позволяет выровнять общий срок действия покрытия по всем членам Ассоциации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. Страховая премия по присоединенным членам рассчитывается пропорционально не истекшему сроку. </w:t>
      </w:r>
    </w:p>
    <w:p w14:paraId="65F91606" w14:textId="77777777" w:rsidR="00F922CD" w:rsidRPr="00D408C1" w:rsidRDefault="00F922CD" w:rsidP="00365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C1">
        <w:rPr>
          <w:rFonts w:ascii="Times New Roman" w:hAnsi="Times New Roman" w:cs="Times New Roman"/>
          <w:b/>
          <w:sz w:val="24"/>
          <w:szCs w:val="24"/>
        </w:rPr>
        <w:t>3. ТРЕБОВАНИЯ К ДОГОВОРУ СТРАХОВАНИЯ ГРАЖДАНСКОЙ ОТВЕТСТВЕННОСТИ</w:t>
      </w:r>
    </w:p>
    <w:p w14:paraId="1FCEC451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3.1. Договор страхования гражданской ответственности должен соответствовать условиям настоящего Положения. Допускается улучшение условий договора страхования в части расширения страхового покрытия, увеличения лимитов ответственности, расширения сервисных условий со стороны Страховщика. </w:t>
      </w:r>
    </w:p>
    <w:p w14:paraId="5A4E0CA0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 3.2. Договор страхования гражданской ответственности должен быть заключен в соответствии с правилами страхования гражданской ответственности, разработанными и утвержденными в установленном порядке Страховщиком. В договоре страхования гражданской ответственности должна содержаться ссылка на применение правил страхования гражданской ответственности, утвержденных Страховщиком. </w:t>
      </w:r>
    </w:p>
    <w:p w14:paraId="7F472E9D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3.3. В договоре страхования должно быть названо лицо, риск гражданской ответственности которого застрахован - Застрахованное лицо. </w:t>
      </w:r>
    </w:p>
    <w:p w14:paraId="68D42ABA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3.4. Договор страхования должен быть заключен в пользу лиц, которым может быть причинен вред (Выгодоприобретателей). </w:t>
      </w:r>
    </w:p>
    <w:p w14:paraId="2E781EC7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3.5. Договор страхования должен быть заключен на срок не менее одного года. Кроме того, в договоре страхования должен быть установлен Ретроактивный период – с даты вступления в саморегулируемую организацию. </w:t>
      </w:r>
    </w:p>
    <w:p w14:paraId="51417FC6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3.6. Условия страхования должны соответствовать настоящему Положению и содержать следующие обязательные условия: </w:t>
      </w:r>
    </w:p>
    <w:p w14:paraId="58CFB3B5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а) описание объекта страхования; </w:t>
      </w:r>
    </w:p>
    <w:p w14:paraId="332E0C5C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lastRenderedPageBreak/>
        <w:t xml:space="preserve">б) описание страхового случая; </w:t>
      </w:r>
    </w:p>
    <w:p w14:paraId="089CE497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>в) исключения из страхового покрытия;</w:t>
      </w:r>
    </w:p>
    <w:p w14:paraId="05FA2D0E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 г) размер страховой суммы; </w:t>
      </w:r>
    </w:p>
    <w:p w14:paraId="699F2E67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д) порядок определения размера страховой выплаты; </w:t>
      </w:r>
    </w:p>
    <w:p w14:paraId="1AC407BA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е) порядок уплаты страховой премии (страховых взносов) и выплаты страхового возмещения; </w:t>
      </w:r>
    </w:p>
    <w:p w14:paraId="6D692A08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>ж) срок действия договора страхования и период ответственности страховщика;</w:t>
      </w:r>
    </w:p>
    <w:p w14:paraId="767E6F56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з) порядок взаимоотношения сторон при наступлении события, имеющего признаки страхового случая; </w:t>
      </w:r>
    </w:p>
    <w:p w14:paraId="6B822EF3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и) перечень документов, предоставляемых Страхователем, необходимых для выплаты страхового возмещения при наступлении страхового случая. </w:t>
      </w:r>
    </w:p>
    <w:p w14:paraId="7C501217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3.7. В договоре страхования должно быть предусмотрено согласие члена Ассоциации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Pr="00D408C1">
        <w:rPr>
          <w:rFonts w:ascii="Times New Roman" w:hAnsi="Times New Roman" w:cs="Times New Roman"/>
          <w:sz w:val="24"/>
          <w:szCs w:val="24"/>
        </w:rPr>
        <w:t xml:space="preserve"> на предоставление Страховщиком информации в Ассоциацию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Pr="00D408C1">
        <w:rPr>
          <w:rFonts w:ascii="Times New Roman" w:hAnsi="Times New Roman" w:cs="Times New Roman"/>
          <w:sz w:val="24"/>
          <w:szCs w:val="24"/>
        </w:rPr>
        <w:t xml:space="preserve"> о договоре страхования, его условиях, о страховых случаях, произведенных страховых выплатах.</w:t>
      </w:r>
    </w:p>
    <w:p w14:paraId="26D2F943" w14:textId="77777777" w:rsidR="00F922CD" w:rsidRPr="00D408C1" w:rsidRDefault="00F922CD" w:rsidP="00365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C1">
        <w:rPr>
          <w:rFonts w:ascii="Times New Roman" w:hAnsi="Times New Roman" w:cs="Times New Roman"/>
          <w:b/>
          <w:sz w:val="24"/>
          <w:szCs w:val="24"/>
        </w:rPr>
        <w:t>4. ТРЕБОВАНИЯ К ОБЪЕКТУ СТРАХОВАНИЯ</w:t>
      </w:r>
    </w:p>
    <w:p w14:paraId="06B15164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4.1. Объектом страхования в договоре страхования должны являться: </w:t>
      </w:r>
    </w:p>
    <w:p w14:paraId="5B8C18D5" w14:textId="77777777" w:rsidR="00F922CD" w:rsidRPr="00D408C1" w:rsidRDefault="00620293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22CD" w:rsidRPr="00D408C1">
        <w:rPr>
          <w:rFonts w:ascii="Times New Roman" w:hAnsi="Times New Roman" w:cs="Times New Roman"/>
          <w:sz w:val="24"/>
          <w:szCs w:val="24"/>
        </w:rPr>
        <w:t>4.1.1. Имущественные интересы Страхователя/Застрахованного лица, связанные с его обязанностью возместить в порядке, установленном гражданским законодательством Российской Федерации, вред, причиненный Страхователем/Застрахованным лицом жизни и/или здоровью физических лиц, имуществу юридических и/или физических лиц, государственному или муниципальному имуществу, окружающей среде, жизни и/или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 по инженерным изысканиям, выполне</w:t>
      </w:r>
      <w:r w:rsidR="005A6973">
        <w:rPr>
          <w:rFonts w:ascii="Times New Roman" w:hAnsi="Times New Roman" w:cs="Times New Roman"/>
          <w:sz w:val="24"/>
          <w:szCs w:val="24"/>
        </w:rPr>
        <w:t>ние которых может осуществляться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 только членами саморегулируемой организации, допущенными Страхователем/Застрахованным лицом (недостатков Застрахованных работ), в том числе вследствие разрушения, повреждения многоквартирного дома, части такого дома. </w:t>
      </w:r>
    </w:p>
    <w:p w14:paraId="28A1835D" w14:textId="77777777" w:rsidR="00F922CD" w:rsidRPr="00D408C1" w:rsidRDefault="00620293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22CD" w:rsidRPr="00D408C1">
        <w:rPr>
          <w:rFonts w:ascii="Times New Roman" w:hAnsi="Times New Roman" w:cs="Times New Roman"/>
          <w:sz w:val="24"/>
          <w:szCs w:val="24"/>
        </w:rPr>
        <w:t>4.1.2. Имущественные интересы Страхователя/Застрахованного лица, связанные с его обязанностью удовлетворить Регрессное требование Регредиента/страховщика Регредиента, предъявленные ему в соответствии со статьей 60 Градостроительного Кодекса Российской Федерации в связи с причинением им вреда Третьим лицам вследствие недостатков работ по инженерным изысканиям, выполнение которых может осуществляться только членами саморегулируемых организаций (недостатками Застрахованных работ), допущенными Страхователем/Застрахованным лицом.</w:t>
      </w:r>
    </w:p>
    <w:p w14:paraId="57395469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lastRenderedPageBreak/>
        <w:t>4.2. В случае заключения договора страхования «на объектной базе» в договоре страхования должен указываться конкретный договор подряда, риск гражданской ответственности при выполнении которого считается застрахованным.</w:t>
      </w:r>
    </w:p>
    <w:p w14:paraId="4D6820E0" w14:textId="77777777" w:rsidR="00F922CD" w:rsidRPr="00D408C1" w:rsidRDefault="00F922CD" w:rsidP="00365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C1">
        <w:rPr>
          <w:rFonts w:ascii="Times New Roman" w:hAnsi="Times New Roman" w:cs="Times New Roman"/>
          <w:b/>
          <w:sz w:val="24"/>
          <w:szCs w:val="24"/>
        </w:rPr>
        <w:t>5. ТРЕБОВАНИЯ К ОПРЕДЕЛЕНИЮ СТРАХОВОГО СЛУЧАЯ</w:t>
      </w:r>
    </w:p>
    <w:p w14:paraId="2EC21E52" w14:textId="77777777" w:rsidR="00F922CD" w:rsidRPr="00D408C1" w:rsidRDefault="005A6973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Страховым случаем должно являться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 свершившееся событие, повлекшее возникновение обязанности Страхователя/Застрахованного лица: - возместить в порядке, установленном гражданским законодательством Российской Федерации, вред жизни и/или здоровью физических лиц, имуществу физических и/или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(Третьим лицам), причиненный Страхователем/Застрахованным лицом вследствие недостатков работ по инженерным изысканиям, выполнение которых может осуществляться только членами саморегулируемых организаций (недостатков Застрахованных работ), допущенными Страхователем/Застрахованным лицом, в том числе в случае разрушения, повреждения многоквартирного дома, части такого дома; - удовлетворить Регрессное требование Регредиента/страховщика Регредиента, предъявленное Страхователю/Застрахованному лицу в соответствии со статьей 60 Градостроительного Кодекса Российской Федерации связи с причинением вреда Третьим лицам вследствие недостатков работ по инженерным изысканиям, выполнение которых может осуществляется только членами саморегулируемых организаций (недостатков Застрахованных работ), допущенными Страхователем/Застрахованным лицом.</w:t>
      </w:r>
    </w:p>
    <w:p w14:paraId="68120DAC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 5.2. Под недостатком работ в договоре страхования должно пониматься несоблюдение (нарушение) работниками Страхователя/Застрахованного лица при выполнении работ технических регламентов, должностных инструкций, правил и других обязательных для применения нормативных актов, стандартов саморегулируемой организации, определяющих порядок и условия проведения соответствующих видов работ.</w:t>
      </w:r>
    </w:p>
    <w:p w14:paraId="17A3702E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 5.3. Событие должно являться страховым случаем при условии наличия и документального подтверждения прямой причинно-следственной связи между причинением вреда и недостатками, допущенными Страхователем/Застрахованным лицом при выполнении работ в области инженерных изысканий. </w:t>
      </w:r>
    </w:p>
    <w:p w14:paraId="74134F60" w14:textId="77777777" w:rsidR="00F922CD" w:rsidRPr="00D408C1" w:rsidRDefault="00F922CD" w:rsidP="00365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C1">
        <w:rPr>
          <w:rFonts w:ascii="Times New Roman" w:hAnsi="Times New Roman" w:cs="Times New Roman"/>
          <w:b/>
          <w:sz w:val="24"/>
          <w:szCs w:val="24"/>
        </w:rPr>
        <w:t>6. ТРЕБОВАНИЯ К ИСКЛЮЧЕНИЯМ ИЗ СТРАХОВОГО ПОКРЫТИЯ</w:t>
      </w:r>
    </w:p>
    <w:p w14:paraId="23D91EB2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6.1. Исключения из страхового покрытия устанавливаются настоящим разделом и должны быть однозначно и исчерпывающим образом закреплены в договоре страхования. Расширение в договоре страхования исключений не допускается. </w:t>
      </w:r>
    </w:p>
    <w:p w14:paraId="5B7B6037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6.2. В соответствии с настоящим Положением исключениями из состава событий, на случай наступления которых производится страхование, могут быть признаны: </w:t>
      </w:r>
    </w:p>
    <w:p w14:paraId="2726F7BF" w14:textId="77777777" w:rsid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6.2.1. Случаи причинение вреда Страхователем/Застрахованным лицом и/или Регрессное требование Регредиента за причинение вреда: - движимому и/или недвижимому </w:t>
      </w:r>
      <w:r w:rsidRPr="00D408C1">
        <w:rPr>
          <w:rFonts w:ascii="Times New Roman" w:hAnsi="Times New Roman" w:cs="Times New Roman"/>
          <w:sz w:val="24"/>
          <w:szCs w:val="24"/>
        </w:rPr>
        <w:lastRenderedPageBreak/>
        <w:t xml:space="preserve">имуществу, которое принадлежит Страхователю/Застрахованному лицу на праве собственности или ином законном основании; </w:t>
      </w:r>
    </w:p>
    <w:p w14:paraId="1CFB2518" w14:textId="77777777" w:rsidR="00D408C1" w:rsidRDefault="00620293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2CD" w:rsidRPr="00D408C1">
        <w:rPr>
          <w:rFonts w:ascii="Times New Roman" w:hAnsi="Times New Roman" w:cs="Times New Roman"/>
          <w:sz w:val="24"/>
          <w:szCs w:val="24"/>
        </w:rPr>
        <w:t>- жизни, здоровью, имуществу работников Страхователя/Застрахованного лица, занятых в выполнении работ, где Страхователь/Застрахованное лицо выполнял Застрахованные работы, вследствие недостатка которых был причинен вред, а также физических лиц, не состоящих в трудовых отношениях со Страхователем/Застрахованным лицом, но выполняющих работу для него, по его указаниям и под его контролем;</w:t>
      </w:r>
    </w:p>
    <w:p w14:paraId="69CAC0DD" w14:textId="77777777" w:rsidR="00D408C1" w:rsidRDefault="00620293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- при проведении работ, не являющихся работами по инженерным изысканиям; </w:t>
      </w:r>
    </w:p>
    <w:p w14:paraId="2255D280" w14:textId="77777777" w:rsidR="00D408C1" w:rsidRDefault="00620293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2CD" w:rsidRPr="00D408C1">
        <w:rPr>
          <w:rFonts w:ascii="Times New Roman" w:hAnsi="Times New Roman" w:cs="Times New Roman"/>
          <w:sz w:val="24"/>
          <w:szCs w:val="24"/>
        </w:rPr>
        <w:t>- при проведении работ по инженерным изысканиям объектов, не являющихся объектами капитального строительства (некапитальные строения, сооружения: киоски, навесы, ограждения и других подобные строения, сооружения).</w:t>
      </w:r>
    </w:p>
    <w:p w14:paraId="517947C6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 </w:t>
      </w:r>
      <w:r w:rsidR="00620293">
        <w:rPr>
          <w:rFonts w:ascii="Times New Roman" w:hAnsi="Times New Roman" w:cs="Times New Roman"/>
          <w:sz w:val="24"/>
          <w:szCs w:val="24"/>
        </w:rPr>
        <w:t xml:space="preserve">   </w:t>
      </w:r>
      <w:r w:rsidRPr="00D408C1">
        <w:rPr>
          <w:rFonts w:ascii="Times New Roman" w:hAnsi="Times New Roman" w:cs="Times New Roman"/>
          <w:sz w:val="24"/>
          <w:szCs w:val="24"/>
        </w:rPr>
        <w:t xml:space="preserve">6.2.2. Случаи причинение вреда Страхователем/Застрахованным лицом Регрессное требование Регредиента Страхователю/Застрахованному лицу за причинение вреда произошедшее: </w:t>
      </w:r>
    </w:p>
    <w:p w14:paraId="34C35783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 </w:t>
      </w:r>
      <w:r w:rsidR="00620293">
        <w:rPr>
          <w:rFonts w:ascii="Times New Roman" w:hAnsi="Times New Roman" w:cs="Times New Roman"/>
          <w:sz w:val="24"/>
          <w:szCs w:val="24"/>
        </w:rPr>
        <w:t xml:space="preserve">   </w:t>
      </w:r>
      <w:r w:rsidRPr="00D408C1">
        <w:rPr>
          <w:rFonts w:ascii="Times New Roman" w:hAnsi="Times New Roman" w:cs="Times New Roman"/>
          <w:sz w:val="24"/>
          <w:szCs w:val="24"/>
        </w:rPr>
        <w:t>- при выполнении Застрахованных работ Страхователем/Застрахованным лицом, не являющимся на момент причинения вреда действующим членом саморегулируемой организации;</w:t>
      </w:r>
    </w:p>
    <w:p w14:paraId="45011B99" w14:textId="77777777" w:rsidR="00DE6B29" w:rsidRDefault="00620293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 - при выполнении Застрахованных работ сотрудником Страхователя/Застрахованного лица, находящегося в состоянии наркотического, алкогольного или иного опьянения, или его последствий; </w:t>
      </w:r>
    </w:p>
    <w:p w14:paraId="568CA2B5" w14:textId="77777777" w:rsidR="00DE6B29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- при выполнении Страхователем/Застрахованным лицом работ по договору подряда, заключенного Страхователем/Застрахованным лицом – членом саморегулируемой организации, но для заключения и исполнения которого в соответствии со ст. 47 Градостроительного кодекса Российской Федерации не нужно состоять в саморегулируемой организации; - вследствие действия обстоятельств непреодолимой силы; - вследствие событий, квалифицированных уполномоченными органами как террористический акт (ст. 205 УК РФ) и/или диверсия (ст. 281 УК РФ), а также иными противоправными действиями третьих лиц (в том числе, кражей, грабежом, разбоем, вымогательством, мошенническими действиями, умышленным уничтожением имущества и т.д.), в том числе и в случае, когда виновными в этих событиях и действиях признаны сотрудники Страхователя/Застрахованного лица; </w:t>
      </w:r>
    </w:p>
    <w:p w14:paraId="6C4AE9B2" w14:textId="77777777" w:rsidR="00D22294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- в связи с недостатками, допущенными Страхователем/Застрахованным лицом при выполнении Застрахованных работ, в случае если на момент заключения договора страхования Страхователю/Застрахованному лицу было известно или заведомо должно было быть известно о наличии таких недостатков, и Страховщик не был уведомлен о данных недостатках при заключении договора страхования. </w:t>
      </w:r>
    </w:p>
    <w:p w14:paraId="10F439BE" w14:textId="77777777" w:rsidR="00D22294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6.2.3. Страхованием могут не покрываться: </w:t>
      </w:r>
    </w:p>
    <w:p w14:paraId="0457ED0B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>-</w:t>
      </w:r>
      <w:r w:rsidR="00D22294">
        <w:rPr>
          <w:rFonts w:ascii="Times New Roman" w:hAnsi="Times New Roman" w:cs="Times New Roman"/>
          <w:sz w:val="24"/>
          <w:szCs w:val="24"/>
        </w:rPr>
        <w:t xml:space="preserve"> </w:t>
      </w:r>
      <w:r w:rsidRPr="00D408C1">
        <w:rPr>
          <w:rFonts w:ascii="Times New Roman" w:hAnsi="Times New Roman" w:cs="Times New Roman"/>
          <w:sz w:val="24"/>
          <w:szCs w:val="24"/>
        </w:rPr>
        <w:t>убытки, вызванные курсовой разницей, неустойками, штрафами, пенями, любые косвенные убытки, в том числе упущенная выгода.</w:t>
      </w:r>
    </w:p>
    <w:p w14:paraId="3C2D6942" w14:textId="77777777" w:rsidR="00F922CD" w:rsidRPr="00D408C1" w:rsidRDefault="00D22294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убытки, вызванные неисполнением или ненадлежащим исполнением Страхователем/Застрахованным лицом принятых на себя договорных обязательств, включая возмещение убытков, причиненных таким нарушением, уплату штрафов, пени, неустоек, процентов за пользование чужими денежными средствами. </w:t>
      </w:r>
    </w:p>
    <w:p w14:paraId="352BCD89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- убытки, возникшие в результате нанесения вреда деловой репутации, чести и достоинству и требования о возмещении морального вреда. </w:t>
      </w:r>
    </w:p>
    <w:p w14:paraId="6C78E253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>- убытки, возникшие вследствие неплатежеспособности или банкротства Страхователя/Застрахованного лица.</w:t>
      </w:r>
    </w:p>
    <w:p w14:paraId="748F7705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 - убытки Страхователя/Застрахованного лица, возникшие вследствие предъявления ему требований лицами, указанными в части 5 статьи 60 Градостроительного Кодекса Российской Федерации.</w:t>
      </w:r>
    </w:p>
    <w:p w14:paraId="3ED5F82C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 6.3. В соответствии с Гражданским Кодексом Российской Федерации в договоре страхования может быть установлен перечень оснований, освобождающих Страховщика от страхового возмещения, а именно, когда страховой случай наступил вследствие:</w:t>
      </w:r>
    </w:p>
    <w:p w14:paraId="319E857B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 - воздействия ядерного взрыва, радиации или радиоактивного заражения; </w:t>
      </w:r>
    </w:p>
    <w:p w14:paraId="29737CD4" w14:textId="77777777" w:rsidR="00F922CD" w:rsidRPr="00D408C1" w:rsidRDefault="000D65D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- военных действий, а также маневров или иных военных мероприятий; </w:t>
      </w:r>
    </w:p>
    <w:p w14:paraId="4E888CE2" w14:textId="77777777" w:rsidR="00F922CD" w:rsidRPr="00D408C1" w:rsidRDefault="000D65D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2CD" w:rsidRPr="00D408C1">
        <w:rPr>
          <w:rFonts w:ascii="Times New Roman" w:hAnsi="Times New Roman" w:cs="Times New Roman"/>
          <w:sz w:val="24"/>
          <w:szCs w:val="24"/>
        </w:rPr>
        <w:t>- гражданской войны, народных волнений всякого рода или забастовок;</w:t>
      </w:r>
    </w:p>
    <w:p w14:paraId="679198F5" w14:textId="77777777" w:rsidR="00F922CD" w:rsidRPr="00D408C1" w:rsidRDefault="00D22294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изъятия, конфискации, реквизиции, ареста или уничтожения имущества по распоряжению государственных органов; </w:t>
      </w:r>
    </w:p>
    <w:p w14:paraId="57A5ED8F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- умысла Страхователя/Застрахованного лица или Потерпевшего третьего лица. При этом Страховщик не должен освобождаться от выплаты страхового возмещения в отношении случаев причинения вреда жизни и здоровью Потерпевших третьих лиц и </w:t>
      </w:r>
      <w:proofErr w:type="gramStart"/>
      <w:r w:rsidRPr="00D408C1">
        <w:rPr>
          <w:rFonts w:ascii="Times New Roman" w:hAnsi="Times New Roman" w:cs="Times New Roman"/>
          <w:sz w:val="24"/>
          <w:szCs w:val="24"/>
        </w:rPr>
        <w:t>предъявления</w:t>
      </w:r>
      <w:proofErr w:type="gramEnd"/>
      <w:r w:rsidRPr="00D408C1">
        <w:rPr>
          <w:rFonts w:ascii="Times New Roman" w:hAnsi="Times New Roman" w:cs="Times New Roman"/>
          <w:sz w:val="24"/>
          <w:szCs w:val="24"/>
        </w:rPr>
        <w:t xml:space="preserve"> в связи с этим Страхователю/Застрахованному лицу Регрессного требования Регредиента/Регрессного требования страховщика Регредиента; - того, что Страхователь/Застрахованное лицо умышленно не принял разумных и доступных ему мер, чтобы уменьшить возможные убытки. </w:t>
      </w:r>
    </w:p>
    <w:p w14:paraId="139758C6" w14:textId="77777777" w:rsidR="00D408C1" w:rsidRPr="00D408C1" w:rsidRDefault="00F922CD" w:rsidP="00365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C1">
        <w:rPr>
          <w:rFonts w:ascii="Times New Roman" w:hAnsi="Times New Roman" w:cs="Times New Roman"/>
          <w:b/>
          <w:sz w:val="24"/>
          <w:szCs w:val="24"/>
        </w:rPr>
        <w:t>7. ТРЕБОВАНИЯ К РАЗМЕРАМ СТРАХОВОЙ СУММЫ, ФРАНШИЗЫ И ЛИМИТОВ ОТВЕТСТВЕННОСТИ</w:t>
      </w:r>
    </w:p>
    <w:p w14:paraId="303564E5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7.1. Страховая сумма по договору страхования ответственности устанавливается с учетом настоящего Положения. </w:t>
      </w:r>
    </w:p>
    <w:p w14:paraId="0B6C6B2E" w14:textId="2D7CB361" w:rsidR="009B0DBC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A45618">
        <w:rPr>
          <w:rFonts w:ascii="Times New Roman" w:hAnsi="Times New Roman" w:cs="Times New Roman"/>
          <w:sz w:val="24"/>
          <w:szCs w:val="24"/>
        </w:rPr>
        <w:t xml:space="preserve">7.2. </w:t>
      </w:r>
      <w:r w:rsidR="00292401" w:rsidRPr="00A45618">
        <w:rPr>
          <w:rFonts w:ascii="Times New Roman" w:hAnsi="Times New Roman" w:cs="Times New Roman"/>
          <w:sz w:val="24"/>
          <w:szCs w:val="24"/>
        </w:rPr>
        <w:t>Минимальный размер страховой суммы в индивидуальном договоре страхования «на годовой базе» и в коллективном договоре страхования гражданской ответственности для одного Застрахованного лица устанавливается на основании Таблицы №1.</w:t>
      </w:r>
    </w:p>
    <w:p w14:paraId="595869D9" w14:textId="77777777" w:rsidR="000D65DD" w:rsidRDefault="000D65DD" w:rsidP="00365D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E19521" w14:textId="77777777" w:rsidR="000D65DD" w:rsidRDefault="000D65DD" w:rsidP="00365D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2F105" w14:textId="77777777" w:rsidR="000D65DD" w:rsidRDefault="000D65DD" w:rsidP="00365D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854B72" w14:textId="77777777" w:rsidR="003D0ABC" w:rsidRPr="00365D38" w:rsidRDefault="00F922CD" w:rsidP="00365D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D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№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D0ABC" w14:paraId="18AC2870" w14:textId="77777777" w:rsidTr="003D0ABC">
        <w:tc>
          <w:tcPr>
            <w:tcW w:w="3190" w:type="dxa"/>
          </w:tcPr>
          <w:p w14:paraId="0BAC2D5C" w14:textId="77777777" w:rsidR="003D0ABC" w:rsidRDefault="00A43CF2" w:rsidP="0036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Уровни ответственности члена СРО</w:t>
            </w:r>
          </w:p>
        </w:tc>
        <w:tc>
          <w:tcPr>
            <w:tcW w:w="3190" w:type="dxa"/>
          </w:tcPr>
          <w:p w14:paraId="6754C6D6" w14:textId="77777777" w:rsidR="003D0ABC" w:rsidRDefault="00A43CF2" w:rsidP="0036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Страховая сумма</w:t>
            </w:r>
          </w:p>
        </w:tc>
        <w:tc>
          <w:tcPr>
            <w:tcW w:w="3191" w:type="dxa"/>
          </w:tcPr>
          <w:p w14:paraId="3A5CE439" w14:textId="77777777" w:rsidR="003D0ABC" w:rsidRDefault="00A43CF2" w:rsidP="0036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</w:t>
            </w:r>
          </w:p>
        </w:tc>
      </w:tr>
      <w:tr w:rsidR="003D0ABC" w14:paraId="7619ECA8" w14:textId="77777777" w:rsidTr="003D0ABC">
        <w:tc>
          <w:tcPr>
            <w:tcW w:w="3190" w:type="dxa"/>
          </w:tcPr>
          <w:p w14:paraId="1F982057" w14:textId="77777777" w:rsidR="003D0ABC" w:rsidRDefault="00A43CF2" w:rsidP="0036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Не превышает 25 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14:paraId="2A1D604E" w14:textId="55FE5829" w:rsidR="003D0ABC" w:rsidRDefault="00EE651F" w:rsidP="0036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B4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  <w:tc>
          <w:tcPr>
            <w:tcW w:w="3191" w:type="dxa"/>
          </w:tcPr>
          <w:p w14:paraId="44045ABD" w14:textId="77777777" w:rsidR="003D0ABC" w:rsidRDefault="00EE651F" w:rsidP="0036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 ответственности</w:t>
            </w:r>
          </w:p>
        </w:tc>
      </w:tr>
      <w:tr w:rsidR="003D0ABC" w14:paraId="56FDDFD4" w14:textId="77777777" w:rsidTr="003D0ABC">
        <w:tc>
          <w:tcPr>
            <w:tcW w:w="3190" w:type="dxa"/>
          </w:tcPr>
          <w:p w14:paraId="5B98EDBA" w14:textId="77777777" w:rsidR="003D0ABC" w:rsidRDefault="00A43CF2" w:rsidP="0036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Не превышает 50 млн. руб.</w:t>
            </w:r>
          </w:p>
        </w:tc>
        <w:tc>
          <w:tcPr>
            <w:tcW w:w="3190" w:type="dxa"/>
          </w:tcPr>
          <w:p w14:paraId="14E4ECC9" w14:textId="1FB3F528" w:rsidR="003D0ABC" w:rsidRDefault="005C3B4A" w:rsidP="0036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E651F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  <w:tc>
          <w:tcPr>
            <w:tcW w:w="3191" w:type="dxa"/>
          </w:tcPr>
          <w:p w14:paraId="2D5CAA4C" w14:textId="77777777" w:rsidR="003D0ABC" w:rsidRDefault="00EE651F" w:rsidP="0036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уровень ответственности </w:t>
            </w:r>
          </w:p>
        </w:tc>
      </w:tr>
      <w:tr w:rsidR="003D0ABC" w14:paraId="5A361ADE" w14:textId="77777777" w:rsidTr="003D0ABC">
        <w:tc>
          <w:tcPr>
            <w:tcW w:w="3190" w:type="dxa"/>
          </w:tcPr>
          <w:p w14:paraId="6480A706" w14:textId="77777777" w:rsidR="003D0ABC" w:rsidRDefault="00A43CF2" w:rsidP="0036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C1">
              <w:rPr>
                <w:rFonts w:ascii="Times New Roman" w:hAnsi="Times New Roman" w:cs="Times New Roman"/>
                <w:sz w:val="24"/>
                <w:szCs w:val="24"/>
              </w:rPr>
              <w:t>Не превышает 300 млн. руб</w:t>
            </w:r>
            <w:r w:rsidR="00EE6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14:paraId="3694774F" w14:textId="3BC14916" w:rsidR="003D0ABC" w:rsidRDefault="005C3B4A" w:rsidP="0036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E651F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  <w:tc>
          <w:tcPr>
            <w:tcW w:w="3191" w:type="dxa"/>
          </w:tcPr>
          <w:p w14:paraId="78B1DB47" w14:textId="77777777" w:rsidR="003D0ABC" w:rsidRDefault="00EE651F" w:rsidP="0036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уровень ответственности</w:t>
            </w:r>
          </w:p>
        </w:tc>
      </w:tr>
      <w:tr w:rsidR="003D0ABC" w14:paraId="0975F546" w14:textId="77777777" w:rsidTr="003D0ABC">
        <w:tc>
          <w:tcPr>
            <w:tcW w:w="3190" w:type="dxa"/>
          </w:tcPr>
          <w:p w14:paraId="68B19C06" w14:textId="77777777" w:rsidR="003D0ABC" w:rsidRDefault="00A43CF2" w:rsidP="0036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млн</w:t>
            </w:r>
            <w:r w:rsidR="00EE651F">
              <w:rPr>
                <w:rFonts w:ascii="Times New Roman" w:hAnsi="Times New Roman" w:cs="Times New Roman"/>
                <w:sz w:val="24"/>
                <w:szCs w:val="24"/>
              </w:rPr>
              <w:t xml:space="preserve">.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3190" w:type="dxa"/>
          </w:tcPr>
          <w:p w14:paraId="00BB892C" w14:textId="3D82E871" w:rsidR="003D0ABC" w:rsidRDefault="005C3B4A" w:rsidP="0036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E651F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  <w:tc>
          <w:tcPr>
            <w:tcW w:w="3191" w:type="dxa"/>
          </w:tcPr>
          <w:p w14:paraId="3589FB2E" w14:textId="77777777" w:rsidR="003D0ABC" w:rsidRDefault="00EE651F" w:rsidP="0036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уровень ответственности</w:t>
            </w:r>
          </w:p>
        </w:tc>
      </w:tr>
    </w:tbl>
    <w:p w14:paraId="0D4F2A0B" w14:textId="77777777" w:rsidR="003D0ABC" w:rsidRDefault="003D0ABC" w:rsidP="00365D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C9089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>7.3. Страховая сумма по договору страхования в случае причинения вреда вследствие недостатков работ в области инженерных изысканий, выполняемых на особо опасных, технически сложных и уникальных объектах капитального строительства, а также объектах использования атомной энергии, должна быть увеличена не менее чем в 1,5 раза, приведенной в Таблице № 1.</w:t>
      </w:r>
    </w:p>
    <w:p w14:paraId="4A119583" w14:textId="4839C7E3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7.4. Лимит ответственности в договоре страхования «на годовой базе» должен быть равен страховой сумме. </w:t>
      </w:r>
    </w:p>
    <w:p w14:paraId="1FA18FD8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7.5. Страховая сумма в договоре страхования «на объектной базе» устанавливается в равной от стоимости договора подряда. Страховая сумма по договору страхования на объектной базе определяется независимо от страховой суммы по индивидуальному договору страхования «на годовой базе». </w:t>
      </w:r>
    </w:p>
    <w:p w14:paraId="14180F5D" w14:textId="77777777" w:rsidR="00A43CF2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7.6. Страховая сумма в коллективном договоре страхования устанавливается в зависимости от количества членов Ассоциации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Pr="00D408C1">
        <w:rPr>
          <w:rFonts w:ascii="Times New Roman" w:hAnsi="Times New Roman" w:cs="Times New Roman"/>
          <w:sz w:val="24"/>
          <w:szCs w:val="24"/>
        </w:rPr>
        <w:t xml:space="preserve">, застрахованных по этому договору (Застрахованных лиц). Договором коллективного страхования могут быть установлены лимиты ответственности Страховщика, ограничивающие размер выплат: </w:t>
      </w:r>
    </w:p>
    <w:p w14:paraId="7A12179B" w14:textId="77777777" w:rsidR="00A43CF2" w:rsidRDefault="00620293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2CD" w:rsidRPr="00D408C1">
        <w:rPr>
          <w:rFonts w:ascii="Times New Roman" w:hAnsi="Times New Roman" w:cs="Times New Roman"/>
          <w:sz w:val="24"/>
          <w:szCs w:val="24"/>
        </w:rPr>
        <w:t>- на один страховой случай;</w:t>
      </w:r>
    </w:p>
    <w:p w14:paraId="232097B0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 - на одно Застрахованное лицо. Лимит ответственности может быть установлен в процентном отношении к страховой сумме либо в фиксированной (абсолютной) сумме. </w:t>
      </w:r>
    </w:p>
    <w:p w14:paraId="3467F083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7.7. В договоре страхования может быть установлена франшиза в размере 50 000 руб. </w:t>
      </w:r>
    </w:p>
    <w:p w14:paraId="1282A690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7.8. Договором страхования должно быть предусмотрено условие, в соответствии с которым Страхователь может восстановить страховую сумму, уменьшившуюся после выплаты Страховщиком страхового возмещения. В течение тридцати дней с даты выплаты страхового возмещения Страхователь обязан представить в Ассоциацию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Pr="00D408C1">
        <w:rPr>
          <w:rFonts w:ascii="Times New Roman" w:hAnsi="Times New Roman" w:cs="Times New Roman"/>
          <w:sz w:val="24"/>
          <w:szCs w:val="24"/>
        </w:rPr>
        <w:t xml:space="preserve"> дополнительное соглашение к договору страхования ответственности, подтверждающее восстановление страховой суммы до размера, установленного настоящим Положением, а также документы, подтверждающие оплату страховой премии по указанному дополнительному соглашению. </w:t>
      </w:r>
    </w:p>
    <w:p w14:paraId="393C950A" w14:textId="77777777" w:rsidR="00A43CF2" w:rsidRDefault="00A43CF2" w:rsidP="00365D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E7959" w14:textId="77777777" w:rsidR="006E5998" w:rsidRDefault="006E5998" w:rsidP="00365D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22791" w14:textId="77777777" w:rsidR="006E5998" w:rsidRDefault="006E5998" w:rsidP="00365D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4D685" w14:textId="77777777" w:rsidR="00F922CD" w:rsidRPr="00D408C1" w:rsidRDefault="00F922CD" w:rsidP="00365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C1">
        <w:rPr>
          <w:rFonts w:ascii="Times New Roman" w:hAnsi="Times New Roman" w:cs="Times New Roman"/>
          <w:b/>
          <w:sz w:val="24"/>
          <w:szCs w:val="24"/>
        </w:rPr>
        <w:lastRenderedPageBreak/>
        <w:t>8. ТРЕБОВАНИЯ К СУММЕ СТРАХОВОЙ ПРЕМИИ И ПОРЯДКУ ЕЕ УПЛАТЫ</w:t>
      </w:r>
    </w:p>
    <w:p w14:paraId="070674ED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8.1. Размер страховой премии устанавливается в договоре страхования в соответствии со страховыми тарифами, установленными Страховщиком. </w:t>
      </w:r>
    </w:p>
    <w:p w14:paraId="1DC05BF3" w14:textId="77777777" w:rsidR="009B0DBC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8.2. Страховая премия подлежит уплате единовременным платежом, за исключением случаев, когда Договор страхования заключается на срок страхования более года. В этом случае оплата страхового взноса осуществляется ежегодно. </w:t>
      </w:r>
    </w:p>
    <w:p w14:paraId="636E3163" w14:textId="1FA1FB0A" w:rsidR="00CE608B" w:rsidRPr="00A45618" w:rsidRDefault="00CE608B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A45618">
        <w:rPr>
          <w:rFonts w:ascii="Times New Roman" w:hAnsi="Times New Roman" w:cs="Times New Roman"/>
          <w:sz w:val="24"/>
          <w:szCs w:val="24"/>
        </w:rPr>
        <w:t>8.3.  В коллективном договоре страхования для Страхователя может быть установлен иной порядок оплаты страховой премии.</w:t>
      </w:r>
    </w:p>
    <w:p w14:paraId="24288268" w14:textId="7E1751A4" w:rsidR="00CE608B" w:rsidRPr="006E5998" w:rsidRDefault="00CE608B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A45618">
        <w:rPr>
          <w:rFonts w:ascii="Times New Roman" w:hAnsi="Times New Roman" w:cs="Times New Roman"/>
          <w:sz w:val="24"/>
          <w:szCs w:val="24"/>
        </w:rPr>
        <w:t>8.4. При присоединении к коллективному договору страхования Застрахованные лица – члены Ассоциации СРО «Центризыскания», единовременно оплачивают страховую премию в срок не более 30 (тридцати) календарных дней со дня выставления счета.</w:t>
      </w:r>
    </w:p>
    <w:p w14:paraId="7794476D" w14:textId="77777777" w:rsidR="00F922CD" w:rsidRPr="00D408C1" w:rsidRDefault="00F922CD" w:rsidP="00365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C1">
        <w:rPr>
          <w:rFonts w:ascii="Times New Roman" w:hAnsi="Times New Roman" w:cs="Times New Roman"/>
          <w:b/>
          <w:sz w:val="24"/>
          <w:szCs w:val="24"/>
        </w:rPr>
        <w:t>9. ТРЕБОВАНИЯ К СРОКУ ДЕЙСТВИЯ ДОГОВОРА СТРАХОВАНИЯ</w:t>
      </w:r>
    </w:p>
    <w:p w14:paraId="0E850BC0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 9.1. Индивидуальный Договор страхования «на годовой базе» и коллективный договор з</w:t>
      </w:r>
      <w:r w:rsidR="00365D38">
        <w:rPr>
          <w:rFonts w:ascii="Times New Roman" w:hAnsi="Times New Roman" w:cs="Times New Roman"/>
          <w:sz w:val="24"/>
          <w:szCs w:val="24"/>
        </w:rPr>
        <w:t xml:space="preserve">аключается сроком на один год. </w:t>
      </w:r>
    </w:p>
    <w:p w14:paraId="21206EA3" w14:textId="77777777" w:rsidR="00F922CD" w:rsidRPr="00D408C1" w:rsidRDefault="00365D38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.2. В Договоре страхования «на годовой базе» должен быть установлен Ретроактивный период с даты вступления в саморегулируемую организацию. </w:t>
      </w:r>
    </w:p>
    <w:p w14:paraId="74412B4B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9.3. В коллективном договоре может быть установлен ретроактивный период. </w:t>
      </w:r>
    </w:p>
    <w:p w14:paraId="0326D269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9.4. Договор страхования «на объектной базе» заключается на срок действия договора подряда увеличенный на один год. </w:t>
      </w:r>
    </w:p>
    <w:p w14:paraId="0362CADC" w14:textId="77777777" w:rsidR="00F922CD" w:rsidRPr="00D408C1" w:rsidRDefault="00F922CD" w:rsidP="00365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C1">
        <w:rPr>
          <w:rFonts w:ascii="Times New Roman" w:hAnsi="Times New Roman" w:cs="Times New Roman"/>
          <w:b/>
          <w:sz w:val="24"/>
          <w:szCs w:val="24"/>
        </w:rPr>
        <w:t>10. ТРЕБОВАНИЯ К ПОРЯДКУ И СРОКАМ ВЫПЛАТЫ СТРАХОВОГО ВОЗМЕЩЕНИЯ.</w:t>
      </w:r>
    </w:p>
    <w:p w14:paraId="000CFCB2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10.1. В договоре страхования должен быть указан порядок взаимодействия члена Ассоциации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Pr="00D408C1">
        <w:rPr>
          <w:rFonts w:ascii="Times New Roman" w:hAnsi="Times New Roman" w:cs="Times New Roman"/>
          <w:sz w:val="24"/>
          <w:szCs w:val="24"/>
        </w:rPr>
        <w:t xml:space="preserve"> и Страховщика при наступлении события, имеющего признаки страхового случая. </w:t>
      </w:r>
    </w:p>
    <w:p w14:paraId="0D46E790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10.2. В договоре страхования должен быть указан исчерпывающий перечень документов, необходимых для определения обстоятельств, причин и размера причиненного вреда. </w:t>
      </w:r>
    </w:p>
    <w:p w14:paraId="742E3EA7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10.3. В договоре страхования должен быть порядок определения размера выплаты страхового возмещения при наступлении страхового случая. </w:t>
      </w:r>
    </w:p>
    <w:p w14:paraId="2D268E3B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10.4. Установленный договором страхования срок выплаты страхового возмещения не должен превышать двадцати рабочих дней с момента получения страховой организацией всех документов, необходимых для установления причин и обстоятельств произошедшего события, а также размера причиненного вреда. </w:t>
      </w:r>
    </w:p>
    <w:p w14:paraId="3B2B3271" w14:textId="77777777" w:rsidR="00F922CD" w:rsidRPr="00D408C1" w:rsidRDefault="00F922CD" w:rsidP="00365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C1">
        <w:rPr>
          <w:rFonts w:ascii="Times New Roman" w:hAnsi="Times New Roman" w:cs="Times New Roman"/>
          <w:b/>
          <w:sz w:val="24"/>
          <w:szCs w:val="24"/>
        </w:rPr>
        <w:t>11. ТРЕБОВАНИЯ К СТРАХОВОЙ ОРГАНИЗАЦИИ</w:t>
      </w:r>
    </w:p>
    <w:p w14:paraId="033AFE0F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lastRenderedPageBreak/>
        <w:t xml:space="preserve"> 11.1. Для заключения договора/до</w:t>
      </w:r>
      <w:r w:rsidR="005A6973">
        <w:rPr>
          <w:rFonts w:ascii="Times New Roman" w:hAnsi="Times New Roman" w:cs="Times New Roman"/>
          <w:sz w:val="24"/>
          <w:szCs w:val="24"/>
        </w:rPr>
        <w:t>говоров страхования с Ассоциацией</w:t>
      </w:r>
      <w:r w:rsidRPr="00D408C1">
        <w:rPr>
          <w:rFonts w:ascii="Times New Roman" w:hAnsi="Times New Roman" w:cs="Times New Roman"/>
          <w:sz w:val="24"/>
          <w:szCs w:val="24"/>
        </w:rPr>
        <w:t xml:space="preserve">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Pr="00D408C1">
        <w:rPr>
          <w:rFonts w:ascii="Times New Roman" w:hAnsi="Times New Roman" w:cs="Times New Roman"/>
          <w:sz w:val="24"/>
          <w:szCs w:val="24"/>
        </w:rPr>
        <w:t xml:space="preserve"> /Членами Ассоциации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Pr="00D408C1">
        <w:rPr>
          <w:rFonts w:ascii="Times New Roman" w:hAnsi="Times New Roman" w:cs="Times New Roman"/>
          <w:sz w:val="24"/>
          <w:szCs w:val="24"/>
        </w:rPr>
        <w:t xml:space="preserve"> страховая компания должна соответствовать следующим требованиям: </w:t>
      </w:r>
    </w:p>
    <w:p w14:paraId="0931333C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а) страховая организация должна иметь действующую лицензию на добровольное имущественное страхование (без ограничений срока действия) на осуществление страховой деятельности, выданной Центральным Банком Российской Федерации и быть зарегистрирована на территории Российской Федерации; </w:t>
      </w:r>
    </w:p>
    <w:p w14:paraId="3F87379A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б) страховая организация должна являться членом саморегулируемой организации в сфере финансового рынка в порядке и сроки, которые предусмотрены Федеральным законом от 13 июля 2015 года N 223-ФЗ "О саморегулируемых организациях в сфере финансового рынка" и принятыми в соответствии с ним нормативными актами Банка России; </w:t>
      </w:r>
    </w:p>
    <w:p w14:paraId="416CDF42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в) страховая организация должна иметь разработанные и утвержденные Правила страхования гражданской ответственности и иных рисков членов саморегулируемых организаций на случай причинения вреда личности или имуществу граждан, имуществу юридических лиц вследствие разрушения, повреждения здания, сооружения либо части здания или сооружения, согласованных или принятых в порядке уведомления Центральным Банком РФ; </w:t>
      </w:r>
    </w:p>
    <w:p w14:paraId="08BDCD1C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 г) страховая организация должна иметь опыт работы на рынке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строительства, не менее </w:t>
      </w:r>
      <w:r w:rsidR="006E1A97" w:rsidRPr="006E1A97">
        <w:rPr>
          <w:rFonts w:ascii="Times New Roman" w:hAnsi="Times New Roman" w:cs="Times New Roman"/>
          <w:sz w:val="24"/>
          <w:szCs w:val="24"/>
        </w:rPr>
        <w:t>20</w:t>
      </w:r>
      <w:r w:rsidRPr="00D408C1">
        <w:rPr>
          <w:rFonts w:ascii="Times New Roman" w:hAnsi="Times New Roman" w:cs="Times New Roman"/>
          <w:sz w:val="24"/>
          <w:szCs w:val="24"/>
        </w:rPr>
        <w:t xml:space="preserve"> лет; </w:t>
      </w:r>
    </w:p>
    <w:p w14:paraId="74724E63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>д) в отношении страховой организации не ведется процедура банкротства, ликв</w:t>
      </w:r>
      <w:r w:rsidR="005A6973">
        <w:rPr>
          <w:rFonts w:ascii="Times New Roman" w:hAnsi="Times New Roman" w:cs="Times New Roman"/>
          <w:sz w:val="24"/>
          <w:szCs w:val="24"/>
        </w:rPr>
        <w:t>идации или реорганизации, на ее</w:t>
      </w:r>
      <w:r w:rsidRPr="00D408C1">
        <w:rPr>
          <w:rFonts w:ascii="Times New Roman" w:hAnsi="Times New Roman" w:cs="Times New Roman"/>
          <w:sz w:val="24"/>
          <w:szCs w:val="24"/>
        </w:rPr>
        <w:t xml:space="preserve"> имущество не наложен арест и иные обременения; </w:t>
      </w:r>
    </w:p>
    <w:p w14:paraId="6036140A" w14:textId="77777777" w:rsidR="006E1A97" w:rsidRPr="006E1A97" w:rsidRDefault="006E1A97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) </w:t>
      </w:r>
      <w:r w:rsidRPr="006E1A97">
        <w:rPr>
          <w:rFonts w:ascii="Times New Roman" w:hAnsi="Times New Roman" w:cs="Times New Roman"/>
          <w:sz w:val="24"/>
          <w:szCs w:val="24"/>
        </w:rPr>
        <w:t>Наличие у страховой организации уставного капитала в размере не менее 6 млрд. руб. Подтверждается копией устава страховой организации.</w:t>
      </w:r>
    </w:p>
    <w:p w14:paraId="15ABA904" w14:textId="77777777" w:rsidR="006E1A97" w:rsidRDefault="006E1A97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Pr="006E1A97">
        <w:rPr>
          <w:rFonts w:ascii="Times New Roman" w:hAnsi="Times New Roman" w:cs="Times New Roman"/>
          <w:sz w:val="24"/>
          <w:szCs w:val="24"/>
        </w:rPr>
        <w:t xml:space="preserve"> наличие у страховой организации рейтинга одного из рейтинговых агентств, не ниже выделенного в таблице.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90"/>
        <w:gridCol w:w="768"/>
        <w:gridCol w:w="1084"/>
        <w:gridCol w:w="1133"/>
        <w:gridCol w:w="1198"/>
        <w:gridCol w:w="823"/>
        <w:gridCol w:w="1223"/>
        <w:gridCol w:w="660"/>
      </w:tblGrid>
      <w:tr w:rsidR="006E1A97" w14:paraId="3D78390A" w14:textId="77777777" w:rsidTr="003044DC">
        <w:trPr>
          <w:trHeight w:val="94"/>
        </w:trPr>
        <w:tc>
          <w:tcPr>
            <w:tcW w:w="0" w:type="auto"/>
            <w:gridSpan w:val="8"/>
          </w:tcPr>
          <w:p w14:paraId="757FA8B6" w14:textId="77777777" w:rsidR="006E1A97" w:rsidRDefault="006E1A97" w:rsidP="003044DC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Сопоставление рейтинговой шкалы различных агентств </w:t>
            </w:r>
          </w:p>
        </w:tc>
      </w:tr>
      <w:tr w:rsidR="006E1A97" w14:paraId="0C5A4DEF" w14:textId="77777777" w:rsidTr="003044DC">
        <w:trPr>
          <w:trHeight w:val="215"/>
        </w:trPr>
        <w:tc>
          <w:tcPr>
            <w:tcW w:w="0" w:type="auto"/>
          </w:tcPr>
          <w:p w14:paraId="48311644" w14:textId="77777777" w:rsidR="006E1A97" w:rsidRDefault="006E1A97" w:rsidP="003044DC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Трактовка рейтинга </w:t>
            </w:r>
          </w:p>
        </w:tc>
        <w:tc>
          <w:tcPr>
            <w:tcW w:w="0" w:type="auto"/>
          </w:tcPr>
          <w:p w14:paraId="1E2FFC2E" w14:textId="77777777" w:rsidR="006E1A97" w:rsidRDefault="006E1A97" w:rsidP="003044DC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A.M. Best </w:t>
            </w:r>
          </w:p>
        </w:tc>
        <w:tc>
          <w:tcPr>
            <w:tcW w:w="0" w:type="auto"/>
          </w:tcPr>
          <w:p w14:paraId="31EA4382" w14:textId="77777777" w:rsidR="006E1A97" w:rsidRDefault="006E1A97" w:rsidP="003044DC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FITCH </w:t>
            </w:r>
          </w:p>
        </w:tc>
        <w:tc>
          <w:tcPr>
            <w:tcW w:w="0" w:type="auto"/>
          </w:tcPr>
          <w:p w14:paraId="032CA10E" w14:textId="77777777" w:rsidR="006E1A97" w:rsidRDefault="006E1A97" w:rsidP="003044DC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Moody's </w:t>
            </w:r>
          </w:p>
        </w:tc>
        <w:tc>
          <w:tcPr>
            <w:tcW w:w="0" w:type="auto"/>
          </w:tcPr>
          <w:p w14:paraId="622B4CDB" w14:textId="77777777" w:rsidR="006E1A97" w:rsidRDefault="006E1A97" w:rsidP="003044DC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Standart &amp; </w:t>
            </w:r>
            <w:proofErr w:type="spellStart"/>
            <w:r>
              <w:rPr>
                <w:b/>
                <w:bCs/>
                <w:sz w:val="21"/>
                <w:szCs w:val="21"/>
              </w:rPr>
              <w:t>Poor's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14:paraId="3230654C" w14:textId="77777777" w:rsidR="006E1A97" w:rsidRDefault="006E1A97" w:rsidP="003044DC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Weisa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14:paraId="05AAE922" w14:textId="77777777" w:rsidR="006E1A97" w:rsidRDefault="006E1A97" w:rsidP="003044DC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"Эксперт РА" </w:t>
            </w:r>
          </w:p>
        </w:tc>
        <w:tc>
          <w:tcPr>
            <w:tcW w:w="0" w:type="auto"/>
          </w:tcPr>
          <w:p w14:paraId="08BE6CA3" w14:textId="77777777" w:rsidR="006E1A97" w:rsidRDefault="006E1A97" w:rsidP="003044DC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НРА </w:t>
            </w:r>
          </w:p>
        </w:tc>
      </w:tr>
      <w:tr w:rsidR="006E1A97" w14:paraId="6822C2CE" w14:textId="77777777" w:rsidTr="003044DC">
        <w:trPr>
          <w:trHeight w:val="215"/>
        </w:trPr>
        <w:tc>
          <w:tcPr>
            <w:tcW w:w="0" w:type="auto"/>
            <w:tcBorders>
              <w:bottom w:val="single" w:sz="24" w:space="0" w:color="auto"/>
            </w:tcBorders>
          </w:tcPr>
          <w:p w14:paraId="7F6C7D72" w14:textId="77777777" w:rsidR="006E1A97" w:rsidRDefault="006E1A97" w:rsidP="003044D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Наивысшая надежность 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00158464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А++ 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54849B1C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ААА 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7E3F7682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Ааа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63B251EF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ААА 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4AFE2FA4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А+ 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14767D0C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ААА 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20A8005D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ААА </w:t>
            </w:r>
          </w:p>
        </w:tc>
      </w:tr>
      <w:tr w:rsidR="006E1A97" w14:paraId="71901889" w14:textId="77777777" w:rsidTr="003044DC">
        <w:trPr>
          <w:trHeight w:val="95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983C91" w14:textId="77777777" w:rsidR="006E1A97" w:rsidRDefault="006E1A97" w:rsidP="003044D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Высокая надежность 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585773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А+, А 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FA947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АА+, АА, АА- 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ADBBBE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Аа1, Аа2, Аа3 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0855A5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АА+, АА, АА- 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CA6AD1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А, А- 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709F87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 w:rsidRPr="005C3B4A">
              <w:rPr>
                <w:sz w:val="20"/>
                <w:szCs w:val="20"/>
              </w:rPr>
              <w:t>АА+,</w:t>
            </w:r>
            <w:r>
              <w:rPr>
                <w:sz w:val="20"/>
                <w:szCs w:val="20"/>
              </w:rPr>
              <w:t xml:space="preserve"> АА, АА-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A4E273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АА </w:t>
            </w:r>
          </w:p>
        </w:tc>
      </w:tr>
      <w:tr w:rsidR="006E1A97" w14:paraId="1FC2BC3F" w14:textId="77777777" w:rsidTr="003044DC">
        <w:trPr>
          <w:trHeight w:val="217"/>
        </w:trPr>
        <w:tc>
          <w:tcPr>
            <w:tcW w:w="0" w:type="auto"/>
            <w:tcBorders>
              <w:top w:val="single" w:sz="24" w:space="0" w:color="auto"/>
            </w:tcBorders>
          </w:tcPr>
          <w:p w14:paraId="400A39E7" w14:textId="77777777" w:rsidR="006E1A97" w:rsidRDefault="006E1A97" w:rsidP="003044D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Достаточная надежность 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635C2FC1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А-, В++ 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62A0DAF9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А+, А, А- 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4FFD76D2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А1, А2, А3 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49C43380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А+, А, А- 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06F88DD8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В+ 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086650DE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58390D5E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</w:t>
            </w:r>
          </w:p>
        </w:tc>
      </w:tr>
      <w:tr w:rsidR="006E1A97" w14:paraId="1BF03D90" w14:textId="77777777" w:rsidTr="003044DC">
        <w:trPr>
          <w:trHeight w:val="215"/>
        </w:trPr>
        <w:tc>
          <w:tcPr>
            <w:tcW w:w="0" w:type="auto"/>
          </w:tcPr>
          <w:p w14:paraId="0CBC8259" w14:textId="77777777" w:rsidR="006E1A97" w:rsidRDefault="006E1A97" w:rsidP="003044D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Приемлемая надежность </w:t>
            </w:r>
          </w:p>
        </w:tc>
        <w:tc>
          <w:tcPr>
            <w:tcW w:w="0" w:type="auto"/>
          </w:tcPr>
          <w:p w14:paraId="36E1526B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В+, В </w:t>
            </w:r>
          </w:p>
        </w:tc>
        <w:tc>
          <w:tcPr>
            <w:tcW w:w="0" w:type="auto"/>
          </w:tcPr>
          <w:p w14:paraId="7D23B4A6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ВВВ+, ВВВ, ВВВ- </w:t>
            </w:r>
          </w:p>
        </w:tc>
        <w:tc>
          <w:tcPr>
            <w:tcW w:w="0" w:type="auto"/>
          </w:tcPr>
          <w:p w14:paraId="5DD64614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Ваа1, Ваа2, Ваа3 </w:t>
            </w:r>
          </w:p>
        </w:tc>
        <w:tc>
          <w:tcPr>
            <w:tcW w:w="0" w:type="auto"/>
          </w:tcPr>
          <w:p w14:paraId="004B5E30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ВВВ+, ВВВ, ВВВ- </w:t>
            </w:r>
          </w:p>
        </w:tc>
        <w:tc>
          <w:tcPr>
            <w:tcW w:w="0" w:type="auto"/>
          </w:tcPr>
          <w:p w14:paraId="666900A5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В, В- </w:t>
            </w:r>
          </w:p>
        </w:tc>
        <w:tc>
          <w:tcPr>
            <w:tcW w:w="0" w:type="auto"/>
          </w:tcPr>
          <w:p w14:paraId="654AB666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ВВВ </w:t>
            </w:r>
          </w:p>
        </w:tc>
        <w:tc>
          <w:tcPr>
            <w:tcW w:w="0" w:type="auto"/>
          </w:tcPr>
          <w:p w14:paraId="7E4443F6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ВВВ </w:t>
            </w:r>
          </w:p>
        </w:tc>
      </w:tr>
      <w:tr w:rsidR="006E1A97" w14:paraId="0AC96ED1" w14:textId="77777777" w:rsidTr="003044DC">
        <w:trPr>
          <w:trHeight w:val="217"/>
        </w:trPr>
        <w:tc>
          <w:tcPr>
            <w:tcW w:w="0" w:type="auto"/>
          </w:tcPr>
          <w:p w14:paraId="6A768744" w14:textId="77777777" w:rsidR="006E1A97" w:rsidRDefault="006E1A97" w:rsidP="003044D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Удовлетворительная надежность </w:t>
            </w:r>
          </w:p>
        </w:tc>
        <w:tc>
          <w:tcPr>
            <w:tcW w:w="0" w:type="auto"/>
          </w:tcPr>
          <w:p w14:paraId="60302041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В-, С++ </w:t>
            </w:r>
          </w:p>
        </w:tc>
        <w:tc>
          <w:tcPr>
            <w:tcW w:w="0" w:type="auto"/>
          </w:tcPr>
          <w:p w14:paraId="315254AD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ВВ+, ВВ, ВВ- </w:t>
            </w:r>
          </w:p>
        </w:tc>
        <w:tc>
          <w:tcPr>
            <w:tcW w:w="0" w:type="auto"/>
          </w:tcPr>
          <w:p w14:paraId="3E873C60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Ва1, Ва2, Ва3 </w:t>
            </w:r>
          </w:p>
        </w:tc>
        <w:tc>
          <w:tcPr>
            <w:tcW w:w="0" w:type="auto"/>
          </w:tcPr>
          <w:p w14:paraId="65240C4F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ВВ+, ВВ, ВВ- </w:t>
            </w:r>
          </w:p>
        </w:tc>
        <w:tc>
          <w:tcPr>
            <w:tcW w:w="0" w:type="auto"/>
          </w:tcPr>
          <w:p w14:paraId="32F91FF2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С+, С, С- </w:t>
            </w:r>
          </w:p>
        </w:tc>
        <w:tc>
          <w:tcPr>
            <w:tcW w:w="0" w:type="auto"/>
          </w:tcPr>
          <w:p w14:paraId="1A4B5A50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 </w:t>
            </w:r>
          </w:p>
        </w:tc>
        <w:tc>
          <w:tcPr>
            <w:tcW w:w="0" w:type="auto"/>
          </w:tcPr>
          <w:p w14:paraId="57D468E8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 </w:t>
            </w:r>
          </w:p>
        </w:tc>
      </w:tr>
      <w:tr w:rsidR="006E1A97" w14:paraId="17DE2F71" w14:textId="77777777" w:rsidTr="003044DC">
        <w:trPr>
          <w:trHeight w:val="95"/>
        </w:trPr>
        <w:tc>
          <w:tcPr>
            <w:tcW w:w="0" w:type="auto"/>
          </w:tcPr>
          <w:p w14:paraId="6CACF5EE" w14:textId="77777777" w:rsidR="006E1A97" w:rsidRDefault="006E1A97" w:rsidP="003044D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Низкая надежность </w:t>
            </w:r>
          </w:p>
        </w:tc>
        <w:tc>
          <w:tcPr>
            <w:tcW w:w="0" w:type="auto"/>
          </w:tcPr>
          <w:p w14:paraId="42639988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С+, С </w:t>
            </w:r>
          </w:p>
        </w:tc>
        <w:tc>
          <w:tcPr>
            <w:tcW w:w="0" w:type="auto"/>
          </w:tcPr>
          <w:p w14:paraId="0205C9CE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В+, В, В- </w:t>
            </w:r>
          </w:p>
        </w:tc>
        <w:tc>
          <w:tcPr>
            <w:tcW w:w="0" w:type="auto"/>
          </w:tcPr>
          <w:p w14:paraId="331B9DAF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В1, В2, В3 </w:t>
            </w:r>
          </w:p>
        </w:tc>
        <w:tc>
          <w:tcPr>
            <w:tcW w:w="0" w:type="auto"/>
          </w:tcPr>
          <w:p w14:paraId="457CFEBE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В+, В, В- </w:t>
            </w:r>
          </w:p>
        </w:tc>
        <w:tc>
          <w:tcPr>
            <w:tcW w:w="0" w:type="auto"/>
          </w:tcPr>
          <w:p w14:paraId="6745AA65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D+, D, D- </w:t>
            </w:r>
          </w:p>
        </w:tc>
        <w:tc>
          <w:tcPr>
            <w:tcW w:w="0" w:type="auto"/>
          </w:tcPr>
          <w:p w14:paraId="76A6C9B1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</w:p>
        </w:tc>
        <w:tc>
          <w:tcPr>
            <w:tcW w:w="0" w:type="auto"/>
          </w:tcPr>
          <w:p w14:paraId="779485CE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</w:p>
        </w:tc>
      </w:tr>
      <w:tr w:rsidR="006E1A97" w14:paraId="0D8E3B8E" w14:textId="77777777" w:rsidTr="003044DC">
        <w:trPr>
          <w:trHeight w:val="217"/>
        </w:trPr>
        <w:tc>
          <w:tcPr>
            <w:tcW w:w="0" w:type="auto"/>
          </w:tcPr>
          <w:p w14:paraId="41CEC26A" w14:textId="77777777" w:rsidR="006E1A97" w:rsidRDefault="006E1A97" w:rsidP="003044D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Очень низкая надёжность </w:t>
            </w:r>
          </w:p>
        </w:tc>
        <w:tc>
          <w:tcPr>
            <w:tcW w:w="0" w:type="auto"/>
          </w:tcPr>
          <w:p w14:paraId="34053779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C-, D </w:t>
            </w:r>
          </w:p>
        </w:tc>
        <w:tc>
          <w:tcPr>
            <w:tcW w:w="0" w:type="auto"/>
          </w:tcPr>
          <w:p w14:paraId="472DE410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CCC+, CCC, CCC- </w:t>
            </w:r>
          </w:p>
        </w:tc>
        <w:tc>
          <w:tcPr>
            <w:tcW w:w="0" w:type="auto"/>
          </w:tcPr>
          <w:p w14:paraId="4693221D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Caa</w:t>
            </w:r>
            <w:proofErr w:type="spellEnd"/>
            <w:r>
              <w:rPr>
                <w:sz w:val="20"/>
                <w:szCs w:val="20"/>
              </w:rPr>
              <w:t xml:space="preserve">, Ca </w:t>
            </w:r>
          </w:p>
        </w:tc>
        <w:tc>
          <w:tcPr>
            <w:tcW w:w="0" w:type="auto"/>
          </w:tcPr>
          <w:p w14:paraId="15908662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CCC+, CCC, CCC- </w:t>
            </w:r>
          </w:p>
        </w:tc>
        <w:tc>
          <w:tcPr>
            <w:tcW w:w="0" w:type="auto"/>
          </w:tcPr>
          <w:p w14:paraId="64801AE4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E+, E, E- </w:t>
            </w:r>
          </w:p>
        </w:tc>
        <w:tc>
          <w:tcPr>
            <w:tcW w:w="0" w:type="auto"/>
          </w:tcPr>
          <w:p w14:paraId="21948CFF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CCC </w:t>
            </w:r>
          </w:p>
        </w:tc>
        <w:tc>
          <w:tcPr>
            <w:tcW w:w="0" w:type="auto"/>
          </w:tcPr>
          <w:p w14:paraId="5AF1E941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 </w:t>
            </w:r>
          </w:p>
        </w:tc>
      </w:tr>
      <w:tr w:rsidR="006E1A97" w14:paraId="5625239C" w14:textId="77777777" w:rsidTr="003044DC">
        <w:trPr>
          <w:trHeight w:val="337"/>
        </w:trPr>
        <w:tc>
          <w:tcPr>
            <w:tcW w:w="0" w:type="auto"/>
          </w:tcPr>
          <w:p w14:paraId="248F815E" w14:textId="77777777" w:rsidR="006E1A97" w:rsidRDefault="006E1A97" w:rsidP="003044D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Неудовлетворительная надежность/ Банкротство </w:t>
            </w:r>
          </w:p>
        </w:tc>
        <w:tc>
          <w:tcPr>
            <w:tcW w:w="0" w:type="auto"/>
          </w:tcPr>
          <w:p w14:paraId="3062B144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E, F </w:t>
            </w:r>
          </w:p>
        </w:tc>
        <w:tc>
          <w:tcPr>
            <w:tcW w:w="0" w:type="auto"/>
          </w:tcPr>
          <w:p w14:paraId="5537476E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 </w:t>
            </w:r>
          </w:p>
        </w:tc>
        <w:tc>
          <w:tcPr>
            <w:tcW w:w="0" w:type="auto"/>
          </w:tcPr>
          <w:p w14:paraId="44BC3CF9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</w:t>
            </w:r>
          </w:p>
        </w:tc>
        <w:tc>
          <w:tcPr>
            <w:tcW w:w="0" w:type="auto"/>
          </w:tcPr>
          <w:p w14:paraId="047BF986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CC, C, D </w:t>
            </w:r>
          </w:p>
        </w:tc>
        <w:tc>
          <w:tcPr>
            <w:tcW w:w="0" w:type="auto"/>
          </w:tcPr>
          <w:p w14:paraId="23202DB9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</w:tcPr>
          <w:p w14:paraId="2486D3D9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</w:t>
            </w:r>
          </w:p>
        </w:tc>
        <w:tc>
          <w:tcPr>
            <w:tcW w:w="0" w:type="auto"/>
          </w:tcPr>
          <w:p w14:paraId="6379E3CD" w14:textId="77777777" w:rsidR="006E1A97" w:rsidRDefault="006E1A97" w:rsidP="00304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</w:t>
            </w:r>
          </w:p>
        </w:tc>
      </w:tr>
    </w:tbl>
    <w:p w14:paraId="69D40657" w14:textId="77777777" w:rsidR="006E1A97" w:rsidRDefault="006E1A97" w:rsidP="00365D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041C50" w14:textId="77777777" w:rsidR="006E1A97" w:rsidRPr="006E1A97" w:rsidRDefault="006E1A97" w:rsidP="006E1A97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6E1A97">
        <w:rPr>
          <w:color w:val="auto"/>
          <w:sz w:val="23"/>
          <w:szCs w:val="23"/>
        </w:rPr>
        <w:t>з) Уровень собственного капитала у страховой организации на отчетную дату 31.12.2022 должен составлять более 30%. Показатель рассчитывается по формуле: (Форма по ОКУД № 0420125 стр.51/</w:t>
      </w:r>
      <w:r w:rsidRPr="006E1A97">
        <w:t xml:space="preserve"> </w:t>
      </w:r>
      <w:r w:rsidRPr="006E1A97">
        <w:rPr>
          <w:color w:val="auto"/>
          <w:sz w:val="23"/>
          <w:szCs w:val="23"/>
        </w:rPr>
        <w:t>Форма по ОКУД № 0420125 стр.52) ×100%</w:t>
      </w:r>
    </w:p>
    <w:p w14:paraId="66BEE155" w14:textId="77777777" w:rsidR="006E1A97" w:rsidRPr="006E1A97" w:rsidRDefault="006E1A97" w:rsidP="006E1A97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6E1A97">
        <w:rPr>
          <w:color w:val="auto"/>
          <w:sz w:val="23"/>
          <w:szCs w:val="23"/>
        </w:rPr>
        <w:t xml:space="preserve">и) Показатель убыточности у страховой организации на отчетную дату 31.12.2022 должен составлять менее 50%. Показатель рассчитывается по формуле: </w:t>
      </w:r>
    </w:p>
    <w:p w14:paraId="43D76387" w14:textId="77777777" w:rsidR="006E1A97" w:rsidRPr="006E1A97" w:rsidRDefault="006E1A97" w:rsidP="006E1A97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6E1A97">
        <w:rPr>
          <w:color w:val="auto"/>
          <w:sz w:val="23"/>
          <w:szCs w:val="23"/>
        </w:rPr>
        <w:t>((Форма по ОКУД № 0420126 (стр.9) × (-1))/</w:t>
      </w:r>
      <w:r w:rsidRPr="006E1A97">
        <w:t xml:space="preserve"> </w:t>
      </w:r>
      <w:r w:rsidRPr="006E1A97">
        <w:rPr>
          <w:color w:val="auto"/>
          <w:sz w:val="23"/>
          <w:szCs w:val="23"/>
        </w:rPr>
        <w:t>Форма по ОКУД № 0420126 (стр.8)) ×100%</w:t>
      </w:r>
    </w:p>
    <w:p w14:paraId="3912103B" w14:textId="77777777" w:rsidR="006E1A97" w:rsidRPr="006E1A97" w:rsidRDefault="006E1A97" w:rsidP="006E1A97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6E1A97">
        <w:rPr>
          <w:color w:val="auto"/>
          <w:sz w:val="23"/>
          <w:szCs w:val="23"/>
        </w:rPr>
        <w:t>к) Показатель текущей платежеспособности у страховой организации на отчетную дату 31.12.2022 должен составлять более 100%. Показатель рассчитывается по формуле: ((Форма по ОКУД № 0420126 (стр.8) × (-1))/</w:t>
      </w:r>
      <w:r w:rsidRPr="006E1A97">
        <w:t xml:space="preserve"> </w:t>
      </w:r>
      <w:r w:rsidRPr="006E1A97">
        <w:rPr>
          <w:color w:val="auto"/>
          <w:sz w:val="23"/>
          <w:szCs w:val="23"/>
        </w:rPr>
        <w:t>Форма по ОКУД № 0420126 (стр.9 + стр.10 +               + стр.13 + стр.23 + стр.28)) × 100%</w:t>
      </w:r>
    </w:p>
    <w:p w14:paraId="05056747" w14:textId="77777777" w:rsidR="00F922CD" w:rsidRPr="00D408C1" w:rsidRDefault="006E1A97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) страховая организация не имеет предписаний, ограничивающих ее деятельность со стороны уполномоченного федерального органа исполнительной власти Российской Федерации; </w:t>
      </w:r>
    </w:p>
    <w:p w14:paraId="3B57B8FA" w14:textId="77777777" w:rsidR="00F922CD" w:rsidRPr="00D408C1" w:rsidRDefault="006E1A97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) страховая организация размещает свои страховые резервы в соответствии с требованиями нормативных правовых актов Российской Федерации. </w:t>
      </w:r>
    </w:p>
    <w:p w14:paraId="2F6032C7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11.2. Перечень документов, которые необходимо предоставить в Ассоциацию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Pr="00D408C1">
        <w:rPr>
          <w:rFonts w:ascii="Times New Roman" w:hAnsi="Times New Roman" w:cs="Times New Roman"/>
          <w:sz w:val="24"/>
          <w:szCs w:val="24"/>
        </w:rPr>
        <w:t xml:space="preserve"> для согласования формы договора страхования:</w:t>
      </w:r>
    </w:p>
    <w:p w14:paraId="1888BB9C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 а) Учредительные документы со всеми изменениями и дополнениями на дату подачи заявки для участия в аккредитации, положения о филиалах и представительствах (нотариально заверенная копия); </w:t>
      </w:r>
    </w:p>
    <w:p w14:paraId="509215CE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б) Свидетельство о государственной регистрации; </w:t>
      </w:r>
    </w:p>
    <w:p w14:paraId="0F5B5A47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>в) Свидетельство о постановке на учет в налоговом органе;</w:t>
      </w:r>
    </w:p>
    <w:p w14:paraId="3EA3127C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 г) Свидетельства о внесении записей в Единый государственный реестр юридических лиц (нотариально заверенная копия); </w:t>
      </w:r>
    </w:p>
    <w:p w14:paraId="1108FDD6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д) Действующую лицензию на добровольное имущественное страхование (без ограничения срока действия) на осуществление страховой деятельности, выданной Центральным Банком Российской Федерации и зарегистрированной на территории Российской Федерации (нотариально заверенная копия); </w:t>
      </w:r>
    </w:p>
    <w:p w14:paraId="20FEA59A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е) Копии финансовых и статистических документов: </w:t>
      </w:r>
    </w:p>
    <w:p w14:paraId="6423DAE3" w14:textId="77777777" w:rsidR="00F922CD" w:rsidRPr="00D408C1" w:rsidRDefault="006E5998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22CD" w:rsidRPr="00D408C1">
        <w:rPr>
          <w:rFonts w:ascii="Times New Roman" w:hAnsi="Times New Roman" w:cs="Times New Roman"/>
          <w:sz w:val="24"/>
          <w:szCs w:val="24"/>
        </w:rPr>
        <w:t>- годовой отчет страховой компании, подтвержденный аудиторской компанией, и аудиторское заключение за прошедший финансовый год;</w:t>
      </w:r>
    </w:p>
    <w:p w14:paraId="4E911D6A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 </w:t>
      </w:r>
      <w:r w:rsidR="006E5998">
        <w:rPr>
          <w:rFonts w:ascii="Times New Roman" w:hAnsi="Times New Roman" w:cs="Times New Roman"/>
          <w:sz w:val="24"/>
          <w:szCs w:val="24"/>
        </w:rPr>
        <w:t xml:space="preserve">  </w:t>
      </w:r>
      <w:r w:rsidRPr="00D408C1">
        <w:rPr>
          <w:rFonts w:ascii="Times New Roman" w:hAnsi="Times New Roman" w:cs="Times New Roman"/>
          <w:sz w:val="24"/>
          <w:szCs w:val="24"/>
        </w:rPr>
        <w:t>- баланс страховой организации – за прошедший финансовый год и на отчетные даты текущего финансового года;</w:t>
      </w:r>
    </w:p>
    <w:p w14:paraId="30225B61" w14:textId="77777777" w:rsidR="00F922CD" w:rsidRPr="00D408C1" w:rsidRDefault="006E5998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922CD" w:rsidRPr="00D408C1">
        <w:rPr>
          <w:rFonts w:ascii="Times New Roman" w:hAnsi="Times New Roman" w:cs="Times New Roman"/>
          <w:sz w:val="24"/>
          <w:szCs w:val="24"/>
        </w:rPr>
        <w:t>- отчет о прибылях и убытках страховой организации – за прошедший финансовый год и прошедшие отчетные периоды текущего финансового года;</w:t>
      </w:r>
    </w:p>
    <w:p w14:paraId="311852FC" w14:textId="77777777" w:rsidR="002A4B29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 </w:t>
      </w:r>
      <w:r w:rsidR="006E5998">
        <w:rPr>
          <w:rFonts w:ascii="Times New Roman" w:hAnsi="Times New Roman" w:cs="Times New Roman"/>
          <w:sz w:val="24"/>
          <w:szCs w:val="24"/>
        </w:rPr>
        <w:t xml:space="preserve"> </w:t>
      </w:r>
      <w:r w:rsidRPr="00D408C1">
        <w:rPr>
          <w:rFonts w:ascii="Times New Roman" w:hAnsi="Times New Roman" w:cs="Times New Roman"/>
          <w:sz w:val="24"/>
          <w:szCs w:val="24"/>
        </w:rPr>
        <w:t xml:space="preserve">- отчет о платежеспособности страховой организации – за прошедший финансовый год и на отчетные даты текущего финансового года; </w:t>
      </w:r>
    </w:p>
    <w:p w14:paraId="0D34509C" w14:textId="77777777" w:rsidR="002A4B29" w:rsidRPr="00D408C1" w:rsidRDefault="006E5998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22CD" w:rsidRPr="00D408C1">
        <w:rPr>
          <w:rFonts w:ascii="Times New Roman" w:hAnsi="Times New Roman" w:cs="Times New Roman"/>
          <w:sz w:val="24"/>
          <w:szCs w:val="24"/>
        </w:rPr>
        <w:t>- отчет о размещении страховых резервов – за прошедший финансовый год и на отчетные даты текущего финансового года;</w:t>
      </w:r>
    </w:p>
    <w:p w14:paraId="2B0539F4" w14:textId="77777777" w:rsidR="002A4B29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 </w:t>
      </w:r>
      <w:r w:rsidR="006E5998">
        <w:rPr>
          <w:rFonts w:ascii="Times New Roman" w:hAnsi="Times New Roman" w:cs="Times New Roman"/>
          <w:sz w:val="24"/>
          <w:szCs w:val="24"/>
        </w:rPr>
        <w:t xml:space="preserve">  </w:t>
      </w:r>
      <w:r w:rsidRPr="00D408C1">
        <w:rPr>
          <w:rFonts w:ascii="Times New Roman" w:hAnsi="Times New Roman" w:cs="Times New Roman"/>
          <w:sz w:val="24"/>
          <w:szCs w:val="24"/>
        </w:rPr>
        <w:t xml:space="preserve">- отчет о составе активов, принимаемых для покрытия собственных средств страховой организации – за прошедший финансовый год и на отчетные даты текущего финансового года; </w:t>
      </w:r>
    </w:p>
    <w:p w14:paraId="028D11D9" w14:textId="77777777" w:rsidR="002A4B29" w:rsidRPr="00D408C1" w:rsidRDefault="006E5998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- сведения об основных показателях деятельности страховой организации за прошедший год – годовая, за прошедший финансовый год; </w:t>
      </w:r>
    </w:p>
    <w:p w14:paraId="78F25AE4" w14:textId="77777777" w:rsidR="002A4B29" w:rsidRPr="00D408C1" w:rsidRDefault="006E5998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- сведения о деятельности страховой организации – годовая, за прошедший финансовый год; </w:t>
      </w:r>
    </w:p>
    <w:p w14:paraId="0495CB5B" w14:textId="77777777" w:rsidR="002A4B29" w:rsidRPr="00D408C1" w:rsidRDefault="006E5998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22CD" w:rsidRPr="00D408C1">
        <w:rPr>
          <w:rFonts w:ascii="Times New Roman" w:hAnsi="Times New Roman" w:cs="Times New Roman"/>
          <w:sz w:val="24"/>
          <w:szCs w:val="24"/>
        </w:rPr>
        <w:t>- отчет об операциях перестрахования – годовой, за прошедший финансо</w:t>
      </w:r>
      <w:r w:rsidR="002A4B29" w:rsidRPr="00D408C1">
        <w:rPr>
          <w:rFonts w:ascii="Times New Roman" w:hAnsi="Times New Roman" w:cs="Times New Roman"/>
          <w:sz w:val="24"/>
          <w:szCs w:val="24"/>
        </w:rPr>
        <w:t xml:space="preserve">вый год. </w:t>
      </w:r>
    </w:p>
    <w:p w14:paraId="01A7031B" w14:textId="77777777" w:rsidR="002A4B29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 ж) справки налоговых органов и органов государственных внебюджетных фондов, подтверждающие отсутствие у заявителя задолженности по платежам в бюджеты всех уровней и государственные внебюджетные фонды; </w:t>
      </w:r>
    </w:p>
    <w:p w14:paraId="7F2EDA41" w14:textId="77777777" w:rsidR="002A4B29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з) Справка, заверенная руководителем страховой организации, содержащая сведения о том, что в отношении страховой организации не ведется процедура банкротства, на ее имущество не наложен арест; </w:t>
      </w:r>
    </w:p>
    <w:p w14:paraId="4377D957" w14:textId="77777777" w:rsidR="002A4B29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и) Правила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строительства; </w:t>
      </w:r>
    </w:p>
    <w:p w14:paraId="67D9A902" w14:textId="77777777" w:rsidR="002A4B29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к) Типовую форму договора страхования гражданской ответственности, по которой страховая Организация будет заключать договоры с членами Ассоциации; </w:t>
      </w:r>
    </w:p>
    <w:p w14:paraId="243599BB" w14:textId="77777777" w:rsidR="002A4B29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>л) Тарифы на страхование гражданской ответственности (размеры страховых взносов), на основании которых страховая Организация будет заключат</w:t>
      </w:r>
      <w:r w:rsidR="00365D38">
        <w:rPr>
          <w:rFonts w:ascii="Times New Roman" w:hAnsi="Times New Roman" w:cs="Times New Roman"/>
          <w:sz w:val="24"/>
          <w:szCs w:val="24"/>
        </w:rPr>
        <w:t>ь договоры с членами Ассоциации</w:t>
      </w:r>
      <w:r w:rsidRPr="00D408C1">
        <w:rPr>
          <w:rFonts w:ascii="Times New Roman" w:hAnsi="Times New Roman" w:cs="Times New Roman"/>
          <w:sz w:val="24"/>
          <w:szCs w:val="24"/>
        </w:rPr>
        <w:t xml:space="preserve"> (на текущую дату), заверенную страховой организацией); </w:t>
      </w:r>
    </w:p>
    <w:p w14:paraId="375752E8" w14:textId="77777777" w:rsidR="002A4B29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м) Форму № Ф6-страховщик «Расчет соотношения между фактическим и нормативным размером маржи платежеспособности»; </w:t>
      </w:r>
    </w:p>
    <w:p w14:paraId="2C145C0F" w14:textId="77777777" w:rsidR="002A4B29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н) Сертификаты, письма о присвоении рейтинга финансовой устойчивости или распечатка с официального сайта агентства, присвоившего рейтинг, с обязательным указанием ссылки, заверенная руководителем страховой Организации; </w:t>
      </w:r>
    </w:p>
    <w:p w14:paraId="241C73C2" w14:textId="77777777" w:rsidR="002A4B29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о) Рекомендательные письма государственных органов, органов местного самоуправления, других организаций (лиц), являющихся компетентными в соответствующих сферах деятельности (при наличии таких писем); </w:t>
      </w:r>
    </w:p>
    <w:p w14:paraId="729197D0" w14:textId="77777777" w:rsidR="00AE7DC2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lastRenderedPageBreak/>
        <w:t xml:space="preserve">п) Правила (стандарты) деловой этики и профессиональной деятельности (при наличии таковых); </w:t>
      </w:r>
    </w:p>
    <w:p w14:paraId="567A0B8F" w14:textId="77777777" w:rsidR="006E5998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>р) Информация о перестраховщике (договор перестрахования), в случае, если договором страхования установлена страховая сумма, которую страховая компания обязана перестраховать; Д</w:t>
      </w:r>
    </w:p>
    <w:p w14:paraId="231A56AD" w14:textId="77777777" w:rsidR="002A4B29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8C1">
        <w:rPr>
          <w:rFonts w:ascii="Times New Roman" w:hAnsi="Times New Roman" w:cs="Times New Roman"/>
          <w:sz w:val="24"/>
          <w:szCs w:val="24"/>
        </w:rPr>
        <w:t>окументы</w:t>
      </w:r>
      <w:proofErr w:type="spellEnd"/>
      <w:r w:rsidRPr="00D408C1">
        <w:rPr>
          <w:rFonts w:ascii="Times New Roman" w:hAnsi="Times New Roman" w:cs="Times New Roman"/>
          <w:sz w:val="24"/>
          <w:szCs w:val="24"/>
        </w:rPr>
        <w:t xml:space="preserve">, перечисленные в пункте 11.2., представляются в подлиннике или в виде надлежащим образом заверенных копий. В части их оформления и содержания они должны соответствовать требованиям нормативных правовых актов. </w:t>
      </w:r>
    </w:p>
    <w:p w14:paraId="447BE9A3" w14:textId="77777777" w:rsidR="005A6973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К документам прилагается подписанная руководителем Организации и удостоверенная ее печатью опись представляемых документов с указанием количества страниц в каждом документе. Все документы должны быть оформлены на русском языке. Ассоциация проводит анализ представленных документов страховой компанией в течение 60 дней с момента получения оригиналов. Ассоциация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Pr="00D408C1">
        <w:rPr>
          <w:rFonts w:ascii="Times New Roman" w:hAnsi="Times New Roman" w:cs="Times New Roman"/>
          <w:sz w:val="24"/>
          <w:szCs w:val="24"/>
        </w:rPr>
        <w:t xml:space="preserve"> вправе потребовать дополнительные документы, подтверждающие достоверность представленных заявителем сведений. Основаниями для отказа стра</w:t>
      </w:r>
      <w:r w:rsidR="001A6E63">
        <w:rPr>
          <w:rFonts w:ascii="Times New Roman" w:hAnsi="Times New Roman" w:cs="Times New Roman"/>
          <w:sz w:val="24"/>
          <w:szCs w:val="24"/>
        </w:rPr>
        <w:t>ховой организации в рассмотрении</w:t>
      </w:r>
      <w:r w:rsidRPr="00D408C1">
        <w:rPr>
          <w:rFonts w:ascii="Times New Roman" w:hAnsi="Times New Roman" w:cs="Times New Roman"/>
          <w:sz w:val="24"/>
          <w:szCs w:val="24"/>
        </w:rPr>
        <w:t xml:space="preserve"> документов Ассоциацией являются: </w:t>
      </w:r>
    </w:p>
    <w:p w14:paraId="60BEF44B" w14:textId="77777777" w:rsidR="002A4B29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-некомплектность представленных в Ассоциацию документов; </w:t>
      </w:r>
    </w:p>
    <w:p w14:paraId="18AED889" w14:textId="77777777" w:rsidR="002A4B29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-несоответствие страховой Организации, условий договора страхования или представленных документов требованиям, установленным настоящим Положением. </w:t>
      </w:r>
    </w:p>
    <w:p w14:paraId="06B5B9D8" w14:textId="77777777" w:rsidR="002A4B29" w:rsidRPr="00D408C1" w:rsidRDefault="00FA7273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Страховые организации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 обязаны предоставлять обновленные сведения о себе и документы, подтверждающие их соответствие требованиям, указанным в пунктах 11.1 и 11.2 настоящего Положения один раз в год. Также страховые организации в случае изменения редакции Правил страхования, применяемых для заключения договоров страхования, о</w:t>
      </w:r>
      <w:r w:rsidR="00AD23BF">
        <w:rPr>
          <w:rFonts w:ascii="Times New Roman" w:hAnsi="Times New Roman" w:cs="Times New Roman"/>
          <w:sz w:val="24"/>
          <w:szCs w:val="24"/>
        </w:rPr>
        <w:t>бязаны предоставить в Ассоциацию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="00F922CD" w:rsidRPr="00D408C1">
        <w:rPr>
          <w:rFonts w:ascii="Times New Roman" w:hAnsi="Times New Roman" w:cs="Times New Roman"/>
          <w:sz w:val="24"/>
          <w:szCs w:val="24"/>
        </w:rPr>
        <w:t xml:space="preserve"> сшитую и заверенную копию обновленной редакции таких Правил в течение 30 календарных дней после их утверждения с Ассоциацией. </w:t>
      </w:r>
    </w:p>
    <w:p w14:paraId="04A73E2F" w14:textId="77777777" w:rsidR="00365D38" w:rsidRPr="006E5998" w:rsidRDefault="00F922CD" w:rsidP="006E599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>11.4. В случае если страховая Организация, с которой нет согласованной формы договора, заключила договор страхования с членом Ассоциации, то член Ассоциации обязуется в 30-дневный срок предоставить в Ассоциацию соглашение со Страховой компанией о выполнени</w:t>
      </w:r>
      <w:r w:rsidR="00AD23BF">
        <w:rPr>
          <w:rFonts w:ascii="Times New Roman" w:hAnsi="Times New Roman" w:cs="Times New Roman"/>
          <w:sz w:val="24"/>
          <w:szCs w:val="24"/>
        </w:rPr>
        <w:t>и</w:t>
      </w:r>
      <w:r w:rsidRPr="00D408C1">
        <w:rPr>
          <w:rFonts w:ascii="Times New Roman" w:hAnsi="Times New Roman" w:cs="Times New Roman"/>
          <w:sz w:val="24"/>
          <w:szCs w:val="24"/>
        </w:rPr>
        <w:t xml:space="preserve"> требований, предъявленных Ассоциацией. </w:t>
      </w:r>
    </w:p>
    <w:p w14:paraId="1F0932B8" w14:textId="77777777" w:rsidR="002A4B29" w:rsidRPr="00D408C1" w:rsidRDefault="00F922CD" w:rsidP="00365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C1">
        <w:rPr>
          <w:rFonts w:ascii="Times New Roman" w:hAnsi="Times New Roman" w:cs="Times New Roman"/>
          <w:b/>
          <w:sz w:val="24"/>
          <w:szCs w:val="24"/>
        </w:rPr>
        <w:t xml:space="preserve">12. ПОРЯДОК ОСУЩЕСТВЛЕНИЯ КОНТРОЛЯ </w:t>
      </w:r>
      <w:r w:rsidR="00AD23BF">
        <w:rPr>
          <w:rFonts w:ascii="Times New Roman" w:hAnsi="Times New Roman" w:cs="Times New Roman"/>
          <w:b/>
          <w:sz w:val="24"/>
          <w:szCs w:val="24"/>
        </w:rPr>
        <w:t>АССОЦИАЦИЕЙ СРО «ЦЕНТРИЗЫСКАНИЯ»</w:t>
      </w:r>
      <w:r w:rsidRPr="00D408C1">
        <w:rPr>
          <w:rFonts w:ascii="Times New Roman" w:hAnsi="Times New Roman" w:cs="Times New Roman"/>
          <w:b/>
          <w:sz w:val="24"/>
          <w:szCs w:val="24"/>
        </w:rPr>
        <w:t xml:space="preserve"> ЗА СОБЛЮДЕНИЕМ ЧЛЕНАМИ САМОРЕГУЛИРУЕМЫХ ОРГАНИЗАЦИЙ ТРЕБОВАНИЙ К СТРАХОВАНИЮ ГРАЖДАНСКОЙ ОТВЕТСТВЕННОСТИ</w:t>
      </w:r>
    </w:p>
    <w:p w14:paraId="3EEB85AD" w14:textId="77777777" w:rsidR="002A4B29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12.1. Ассоциация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Pr="00D408C1">
        <w:rPr>
          <w:rFonts w:ascii="Times New Roman" w:hAnsi="Times New Roman" w:cs="Times New Roman"/>
          <w:sz w:val="24"/>
          <w:szCs w:val="24"/>
        </w:rPr>
        <w:t xml:space="preserve"> ведет сводный реестр заключенных договоров страхования гражданской ответственности членов Ассоциации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Pr="00D408C1">
        <w:rPr>
          <w:rFonts w:ascii="Times New Roman" w:hAnsi="Times New Roman" w:cs="Times New Roman"/>
          <w:sz w:val="24"/>
          <w:szCs w:val="24"/>
        </w:rPr>
        <w:t xml:space="preserve"> и осуществляет контроль за своевременностью их заключения и (или) переоформления. </w:t>
      </w:r>
    </w:p>
    <w:p w14:paraId="6C74069A" w14:textId="77777777" w:rsidR="002A4B29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12.2. Член Ассоциации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Pr="00D408C1">
        <w:rPr>
          <w:rFonts w:ascii="Times New Roman" w:hAnsi="Times New Roman" w:cs="Times New Roman"/>
          <w:sz w:val="24"/>
          <w:szCs w:val="24"/>
        </w:rPr>
        <w:t xml:space="preserve"> обязан информировать Ассоциацию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Pr="00D408C1">
        <w:rPr>
          <w:rFonts w:ascii="Times New Roman" w:hAnsi="Times New Roman" w:cs="Times New Roman"/>
          <w:sz w:val="24"/>
          <w:szCs w:val="24"/>
        </w:rPr>
        <w:t xml:space="preserve"> обо всех случаях заключения, продления, изменения, досрочного </w:t>
      </w:r>
      <w:r w:rsidRPr="00D408C1">
        <w:rPr>
          <w:rFonts w:ascii="Times New Roman" w:hAnsi="Times New Roman" w:cs="Times New Roman"/>
          <w:sz w:val="24"/>
          <w:szCs w:val="24"/>
        </w:rPr>
        <w:lastRenderedPageBreak/>
        <w:t xml:space="preserve">прекращения договора страхования гражданской ответственности путем направления уведомления. Уведомление направляется не позднее трех рабочих дней с момента заключения, продления, изменения, досрочного прекращения договора страхования гражданской ответственности с приложением копии договора страхования (страхового полиса), правил страхования гражданской ответственности, заявления на страхование, дополнения к договору (дополнительного соглашения к договору), копий документов об уплате страхового взноса. В уведомлении также указывается причина изменения или досрочного прекращения договора страхования, иная информация, необходимая для проведения контроля. </w:t>
      </w:r>
    </w:p>
    <w:p w14:paraId="3A2E2A19" w14:textId="77777777" w:rsidR="002A4B29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12.3. Член Ассоциации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Pr="00D408C1">
        <w:rPr>
          <w:rFonts w:ascii="Times New Roman" w:hAnsi="Times New Roman" w:cs="Times New Roman"/>
          <w:sz w:val="24"/>
          <w:szCs w:val="24"/>
        </w:rPr>
        <w:t xml:space="preserve"> обязан информировать саморегулируемую организацию о наступлении всех страховых случаев с указанием случившегося события, недостатков работ, вследствие которых был причинен вред, получателя страхового возмещения, размера причиненного вреда, подлежащего возмещению, суммы страхового возмещения, а также информации о восстановлении страховой суммы. Указанная информация направляется в течение тридцати дней с момента наступления страхового случая.</w:t>
      </w:r>
    </w:p>
    <w:p w14:paraId="1811C725" w14:textId="77777777" w:rsidR="00F922CD" w:rsidRPr="00D408C1" w:rsidRDefault="00F922CD" w:rsidP="00365D38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szCs w:val="24"/>
        </w:rPr>
        <w:t xml:space="preserve"> 12.4. В целях обеспечения эффективного контроля за соблюдением настоящего Положения Ассоциация </w:t>
      </w:r>
      <w:r w:rsidR="00D408C1" w:rsidRPr="00D408C1">
        <w:rPr>
          <w:rFonts w:ascii="Times New Roman" w:hAnsi="Times New Roman" w:cs="Times New Roman"/>
          <w:sz w:val="24"/>
          <w:szCs w:val="24"/>
        </w:rPr>
        <w:t>СРО «Центризыскания»</w:t>
      </w:r>
      <w:r w:rsidRPr="00D408C1">
        <w:rPr>
          <w:rFonts w:ascii="Times New Roman" w:hAnsi="Times New Roman" w:cs="Times New Roman"/>
          <w:sz w:val="24"/>
          <w:szCs w:val="24"/>
        </w:rPr>
        <w:t xml:space="preserve"> вправе запрашивать иную информацию, не указанную в настоящем разделе. </w:t>
      </w:r>
    </w:p>
    <w:p w14:paraId="7D11838B" w14:textId="77777777" w:rsidR="00F922CD" w:rsidRPr="00D408C1" w:rsidRDefault="00F922CD" w:rsidP="00365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C1">
        <w:rPr>
          <w:rFonts w:ascii="Times New Roman" w:hAnsi="Times New Roman" w:cs="Times New Roman"/>
          <w:b/>
          <w:sz w:val="24"/>
          <w:szCs w:val="24"/>
        </w:rPr>
        <w:t>13. ЗАКЛЮЧИТЕЛЬНЫЕ ПОЛОЖЕНИЯ</w:t>
      </w:r>
    </w:p>
    <w:p w14:paraId="23F0790A" w14:textId="77777777" w:rsidR="00D22294" w:rsidRPr="00D22294" w:rsidRDefault="00D22294" w:rsidP="00D22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22294">
        <w:rPr>
          <w:rFonts w:ascii="Times New Roman" w:hAnsi="Times New Roman" w:cs="Times New Roman"/>
          <w:sz w:val="24"/>
          <w:szCs w:val="24"/>
        </w:rPr>
        <w:t xml:space="preserve">.1.  Настоящее Положение вступает в силу </w:t>
      </w:r>
      <w:r w:rsidR="00567942">
        <w:rPr>
          <w:rFonts w:ascii="Times New Roman" w:hAnsi="Times New Roman" w:cs="Times New Roman"/>
          <w:sz w:val="24"/>
          <w:szCs w:val="24"/>
        </w:rPr>
        <w:t>01.01.2024 года.</w:t>
      </w:r>
    </w:p>
    <w:p w14:paraId="5B602CC1" w14:textId="77777777" w:rsidR="00F85D32" w:rsidRPr="00D408C1" w:rsidRDefault="00D22294" w:rsidP="00D22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22294">
        <w:rPr>
          <w:rFonts w:ascii="Times New Roman" w:hAnsi="Times New Roman" w:cs="Times New Roman"/>
          <w:sz w:val="24"/>
          <w:szCs w:val="24"/>
        </w:rPr>
        <w:t>.2. Решение о внесении изменений и дополнений в настоящее Положение, а также решение о признании его утратившим силу принимается Правлением Ассоциации.</w:t>
      </w:r>
    </w:p>
    <w:sectPr w:rsidR="00F85D32" w:rsidRPr="00D408C1" w:rsidSect="00B665A4">
      <w:headerReference w:type="firs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B329" w14:textId="77777777" w:rsidR="00B665A4" w:rsidRDefault="00B665A4" w:rsidP="00A45618">
      <w:pPr>
        <w:spacing w:after="0" w:line="240" w:lineRule="auto"/>
      </w:pPr>
      <w:r>
        <w:separator/>
      </w:r>
    </w:p>
  </w:endnote>
  <w:endnote w:type="continuationSeparator" w:id="0">
    <w:p w14:paraId="4A49484D" w14:textId="77777777" w:rsidR="00B665A4" w:rsidRDefault="00B665A4" w:rsidP="00A4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EB357" w14:textId="77777777" w:rsidR="00B665A4" w:rsidRDefault="00B665A4" w:rsidP="00A45618">
      <w:pPr>
        <w:spacing w:after="0" w:line="240" w:lineRule="auto"/>
      </w:pPr>
      <w:r>
        <w:separator/>
      </w:r>
    </w:p>
  </w:footnote>
  <w:footnote w:type="continuationSeparator" w:id="0">
    <w:p w14:paraId="14E74431" w14:textId="77777777" w:rsidR="00B665A4" w:rsidRDefault="00B665A4" w:rsidP="00A45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81FD" w14:textId="21468AD2" w:rsidR="00A45618" w:rsidRDefault="00A45618" w:rsidP="00A45618">
    <w:pPr>
      <w:pStyle w:val="a6"/>
      <w:jc w:val="right"/>
    </w:pPr>
    <w:r w:rsidRPr="00A45618">
      <w:t xml:space="preserve">Приложение № </w:t>
    </w:r>
    <w:r>
      <w:t>3</w:t>
    </w:r>
    <w:r w:rsidRPr="00A45618">
      <w:t xml:space="preserve"> к протоколу Правления от 29.01.2024 № 531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2CD"/>
    <w:rsid w:val="000131A0"/>
    <w:rsid w:val="000D65DD"/>
    <w:rsid w:val="001A6E63"/>
    <w:rsid w:val="001C4431"/>
    <w:rsid w:val="00292401"/>
    <w:rsid w:val="002A4B29"/>
    <w:rsid w:val="0031257E"/>
    <w:rsid w:val="00365D38"/>
    <w:rsid w:val="00376D7B"/>
    <w:rsid w:val="003D0ABC"/>
    <w:rsid w:val="00530E4E"/>
    <w:rsid w:val="00567942"/>
    <w:rsid w:val="005A6973"/>
    <w:rsid w:val="005C3B4A"/>
    <w:rsid w:val="00620293"/>
    <w:rsid w:val="00620D1B"/>
    <w:rsid w:val="006C4848"/>
    <w:rsid w:val="006E1A97"/>
    <w:rsid w:val="006E5998"/>
    <w:rsid w:val="00830BE4"/>
    <w:rsid w:val="00845533"/>
    <w:rsid w:val="009204C7"/>
    <w:rsid w:val="009B0DBC"/>
    <w:rsid w:val="009C20CC"/>
    <w:rsid w:val="00A43CF2"/>
    <w:rsid w:val="00A45618"/>
    <w:rsid w:val="00AD23BF"/>
    <w:rsid w:val="00AE7DC2"/>
    <w:rsid w:val="00B13C15"/>
    <w:rsid w:val="00B665A4"/>
    <w:rsid w:val="00B94A83"/>
    <w:rsid w:val="00C922DB"/>
    <w:rsid w:val="00CE608B"/>
    <w:rsid w:val="00D22294"/>
    <w:rsid w:val="00D36B4D"/>
    <w:rsid w:val="00D408C1"/>
    <w:rsid w:val="00DE6B29"/>
    <w:rsid w:val="00EE651F"/>
    <w:rsid w:val="00F85D32"/>
    <w:rsid w:val="00F922CD"/>
    <w:rsid w:val="00FA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DB1F"/>
  <w15:docId w15:val="{C1739407-987A-4ACF-984E-73F49B81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D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1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4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618"/>
  </w:style>
  <w:style w:type="paragraph" w:styleId="a8">
    <w:name w:val="footer"/>
    <w:basedOn w:val="a"/>
    <w:link w:val="a9"/>
    <w:uiPriority w:val="99"/>
    <w:unhideWhenUsed/>
    <w:rsid w:val="00A4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6A2A-A653-4C47-8E95-5158997B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5088</Words>
  <Characters>29005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2023-07-03T13:15:00Z</cp:lastPrinted>
  <dcterms:created xsi:type="dcterms:W3CDTF">2024-01-26T06:47:00Z</dcterms:created>
  <dcterms:modified xsi:type="dcterms:W3CDTF">2024-01-29T07:33:00Z</dcterms:modified>
</cp:coreProperties>
</file>